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30E83" w14:textId="23BAD8F1" w:rsidR="000A3782" w:rsidRPr="002B7483" w:rsidRDefault="000A3782" w:rsidP="000A3782">
      <w:pPr>
        <w:tabs>
          <w:tab w:val="left" w:pos="1820"/>
        </w:tabs>
        <w:spacing w:beforeLines="0" w:before="0" w:afterLines="0" w:after="60"/>
        <w:rPr>
          <w:rFonts w:cs="Times New Roman"/>
          <w:b/>
          <w:bCs/>
          <w:sz w:val="24"/>
          <w:lang w:val="en-GB"/>
        </w:rPr>
      </w:pPr>
      <w:bookmarkStart w:id="0" w:name="OLE_LINK21"/>
      <w:bookmarkStart w:id="1" w:name="OLE_LINK22"/>
      <w:r>
        <w:rPr>
          <w:rFonts w:cs="Times New Roman"/>
          <w:b/>
          <w:bCs/>
          <w:sz w:val="24"/>
          <w:lang w:val="en-GB"/>
        </w:rPr>
        <w:t xml:space="preserve">3GPP TSG </w:t>
      </w:r>
      <w:r w:rsidRPr="004E2E0D">
        <w:rPr>
          <w:rFonts w:cs="Times New Roman"/>
          <w:b/>
          <w:bCs/>
          <w:sz w:val="24"/>
          <w:lang w:val="en-GB"/>
        </w:rPr>
        <w:t>RAN WG2 #</w:t>
      </w:r>
      <w:r w:rsidR="008E5139">
        <w:rPr>
          <w:rFonts w:cs="Times New Roman"/>
          <w:b/>
          <w:bCs/>
          <w:sz w:val="24"/>
          <w:lang w:val="en-GB"/>
        </w:rPr>
        <w:t>121</w:t>
      </w:r>
      <w:r w:rsidR="0076198C">
        <w:rPr>
          <w:rFonts w:cs="Times New Roman"/>
          <w:b/>
          <w:bCs/>
          <w:sz w:val="24"/>
          <w:lang w:val="en-GB"/>
        </w:rPr>
        <w:t>bis-e</w:t>
      </w:r>
      <w:r w:rsidR="00C42868"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sidRPr="002B7483">
        <w:rPr>
          <w:rFonts w:cs="Times New Roman"/>
          <w:b/>
          <w:bCs/>
          <w:sz w:val="24"/>
          <w:lang w:val="en-GB"/>
        </w:rPr>
        <w:tab/>
      </w:r>
      <w:r w:rsidR="00F40CC1" w:rsidRPr="002B7483">
        <w:rPr>
          <w:rFonts w:cs="Times New Roman" w:hint="eastAsia"/>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F40CC1">
        <w:rPr>
          <w:rFonts w:cs="Times New Roman"/>
          <w:b/>
          <w:bCs/>
          <w:sz w:val="24"/>
          <w:lang w:val="en-GB"/>
        </w:rPr>
        <w:tab/>
      </w:r>
      <w:r w:rsidR="00AE70D1" w:rsidRPr="00AE70D1">
        <w:rPr>
          <w:rFonts w:cs="Times New Roman"/>
          <w:b/>
          <w:bCs/>
          <w:sz w:val="24"/>
        </w:rPr>
        <w:t>R2-2303095</w:t>
      </w:r>
    </w:p>
    <w:bookmarkEnd w:id="0"/>
    <w:bookmarkEnd w:id="1"/>
    <w:p w14:paraId="5650AECD" w14:textId="1B54EF11" w:rsidR="000A3782" w:rsidRPr="00FA58D0" w:rsidRDefault="0076198C" w:rsidP="000A3782">
      <w:pPr>
        <w:tabs>
          <w:tab w:val="left" w:pos="1820"/>
        </w:tabs>
        <w:spacing w:beforeLines="0" w:before="0" w:afterLines="0" w:after="60"/>
        <w:rPr>
          <w:rFonts w:cs="Times New Roman"/>
          <w:b/>
          <w:bCs/>
          <w:sz w:val="24"/>
          <w:lang w:val="en-GB"/>
        </w:rPr>
      </w:pPr>
      <w:r w:rsidRPr="00964A93">
        <w:rPr>
          <w:rFonts w:cs="Times New Roman"/>
          <w:b/>
          <w:bCs/>
          <w:sz w:val="24"/>
          <w:lang w:val="en-GB"/>
        </w:rPr>
        <w:t xml:space="preserve">Electronic meeting, </w:t>
      </w:r>
      <w:r w:rsidRPr="0076198C">
        <w:rPr>
          <w:rFonts w:cs="Times New Roman"/>
          <w:b/>
          <w:bCs/>
          <w:sz w:val="24"/>
          <w:lang w:val="en-GB"/>
        </w:rPr>
        <w:t xml:space="preserve">April </w:t>
      </w:r>
      <w:r w:rsidRPr="00964A93">
        <w:rPr>
          <w:rFonts w:cs="Times New Roman"/>
          <w:b/>
          <w:bCs/>
          <w:sz w:val="24"/>
          <w:lang w:val="en-GB"/>
        </w:rPr>
        <w:t>1</w:t>
      </w:r>
      <w:r>
        <w:rPr>
          <w:rFonts w:cs="Times New Roman"/>
          <w:b/>
          <w:bCs/>
          <w:sz w:val="24"/>
          <w:lang w:val="en-GB"/>
        </w:rPr>
        <w:t>7</w:t>
      </w:r>
      <w:r w:rsidRPr="00964A93">
        <w:rPr>
          <w:rFonts w:cs="Times New Roman"/>
          <w:b/>
          <w:bCs/>
          <w:sz w:val="24"/>
          <w:vertAlign w:val="superscript"/>
          <w:lang w:val="en-GB"/>
        </w:rPr>
        <w:t>th</w:t>
      </w:r>
      <w:r w:rsidRPr="00964A93">
        <w:rPr>
          <w:rFonts w:cs="Times New Roman"/>
          <w:b/>
          <w:bCs/>
          <w:sz w:val="24"/>
          <w:lang w:val="en-GB"/>
        </w:rPr>
        <w:t xml:space="preserve"> –</w:t>
      </w:r>
      <w:r>
        <w:rPr>
          <w:rFonts w:cs="Times New Roman"/>
          <w:b/>
          <w:bCs/>
          <w:sz w:val="24"/>
          <w:lang w:val="en-GB"/>
        </w:rPr>
        <w:t>26</w:t>
      </w:r>
      <w:r w:rsidRPr="00964A93">
        <w:rPr>
          <w:rFonts w:cs="Times New Roman"/>
          <w:b/>
          <w:bCs/>
          <w:sz w:val="24"/>
          <w:vertAlign w:val="superscript"/>
          <w:lang w:val="en-GB"/>
        </w:rPr>
        <w:t>th</w:t>
      </w:r>
      <w:r>
        <w:rPr>
          <w:rFonts w:cs="Times New Roman"/>
          <w:b/>
          <w:bCs/>
          <w:sz w:val="24"/>
          <w:lang w:val="en-GB"/>
        </w:rPr>
        <w:t>, 202</w:t>
      </w:r>
      <w:r w:rsidRPr="0076198C">
        <w:rPr>
          <w:rFonts w:cs="Times New Roman"/>
          <w:b/>
          <w:bCs/>
          <w:sz w:val="24"/>
          <w:lang w:val="en-GB"/>
        </w:rPr>
        <w:t>3</w:t>
      </w:r>
    </w:p>
    <w:p w14:paraId="704EC802" w14:textId="77777777" w:rsidR="000A3782" w:rsidRPr="0076198C" w:rsidRDefault="000A3782" w:rsidP="000A3782">
      <w:pPr>
        <w:tabs>
          <w:tab w:val="left" w:pos="1820"/>
        </w:tabs>
        <w:spacing w:beforeLines="0" w:before="0" w:afterLines="0" w:after="60"/>
        <w:rPr>
          <w:rFonts w:eastAsia="宋体" w:cs="Times New Roman"/>
          <w:b/>
          <w:sz w:val="24"/>
          <w:szCs w:val="24"/>
          <w:lang w:val="en-GB"/>
        </w:rPr>
      </w:pPr>
    </w:p>
    <w:p w14:paraId="195BF741" w14:textId="3C43F67E" w:rsidR="000A3782" w:rsidRPr="00FA58D0" w:rsidRDefault="000A3782" w:rsidP="000A3782">
      <w:pPr>
        <w:tabs>
          <w:tab w:val="left" w:pos="1820"/>
        </w:tabs>
        <w:spacing w:beforeLines="0" w:before="0" w:afterLines="0" w:after="60"/>
        <w:rPr>
          <w:rFonts w:eastAsia="宋体" w:cs="Times New Roman"/>
          <w:b/>
          <w:sz w:val="24"/>
          <w:szCs w:val="24"/>
          <w:lang w:val="en-AU"/>
        </w:rPr>
      </w:pPr>
      <w:r w:rsidRPr="00FA58D0">
        <w:rPr>
          <w:rFonts w:eastAsia="宋体" w:cs="Times New Roman"/>
          <w:b/>
          <w:sz w:val="24"/>
          <w:szCs w:val="24"/>
          <w:lang w:val="en-AU"/>
        </w:rPr>
        <w:t>Agenda Item:</w:t>
      </w:r>
      <w:r w:rsidRPr="00FA58D0">
        <w:rPr>
          <w:rFonts w:eastAsia="宋体" w:cs="Times New Roman"/>
          <w:b/>
          <w:bCs/>
          <w:sz w:val="24"/>
          <w:szCs w:val="24"/>
          <w:lang w:val="en-AU"/>
        </w:rPr>
        <w:tab/>
      </w:r>
      <w:bookmarkStart w:id="2" w:name="OLE_LINK6"/>
      <w:bookmarkStart w:id="3" w:name="OLE_LINK7"/>
      <w:r w:rsidR="00E3316F">
        <w:rPr>
          <w:rFonts w:eastAsia="宋体" w:cs="Times New Roman"/>
          <w:b/>
          <w:sz w:val="24"/>
          <w:szCs w:val="24"/>
        </w:rPr>
        <w:t>7</w:t>
      </w:r>
      <w:r w:rsidRPr="007A7E19">
        <w:rPr>
          <w:rFonts w:eastAsia="宋体" w:cs="Times New Roman" w:hint="eastAsia"/>
          <w:b/>
          <w:sz w:val="24"/>
          <w:szCs w:val="24"/>
        </w:rPr>
        <w:t>.8.2</w:t>
      </w:r>
      <w:r w:rsidRPr="00FA58D0">
        <w:rPr>
          <w:rFonts w:eastAsia="宋体" w:cs="Times New Roman"/>
          <w:b/>
          <w:sz w:val="24"/>
          <w:szCs w:val="24"/>
          <w:lang w:val="en-AU"/>
        </w:rPr>
        <w:t xml:space="preserve"> </w:t>
      </w:r>
    </w:p>
    <w:p w14:paraId="78293C45" w14:textId="77777777" w:rsidR="000A3782" w:rsidRPr="00FA58D0" w:rsidRDefault="000A3782" w:rsidP="000A3782">
      <w:pPr>
        <w:tabs>
          <w:tab w:val="left" w:pos="1820"/>
        </w:tabs>
        <w:spacing w:beforeLines="0" w:before="0" w:afterLines="0" w:after="60"/>
        <w:rPr>
          <w:rFonts w:eastAsia="宋体" w:cs="Times New Roman"/>
          <w:b/>
          <w:bCs/>
          <w:sz w:val="24"/>
          <w:szCs w:val="24"/>
          <w:lang w:val="en-AU"/>
        </w:rPr>
      </w:pPr>
      <w:r w:rsidRPr="00FA58D0">
        <w:rPr>
          <w:rFonts w:eastAsia="宋体" w:cs="Times New Roman"/>
          <w:b/>
          <w:sz w:val="24"/>
          <w:szCs w:val="24"/>
          <w:lang w:val="en-AU"/>
        </w:rPr>
        <w:t>Source:</w:t>
      </w:r>
      <w:r w:rsidRPr="00FA58D0">
        <w:rPr>
          <w:rFonts w:eastAsia="宋体" w:cs="Times New Roman"/>
          <w:b/>
          <w:bCs/>
          <w:sz w:val="24"/>
          <w:szCs w:val="24"/>
          <w:lang w:val="en-AU"/>
        </w:rPr>
        <w:t xml:space="preserve"> </w:t>
      </w:r>
      <w:r w:rsidRPr="00FA58D0">
        <w:rPr>
          <w:rFonts w:eastAsia="宋体" w:cs="Times New Roman"/>
          <w:b/>
          <w:bCs/>
          <w:sz w:val="24"/>
          <w:szCs w:val="24"/>
          <w:lang w:val="en-AU"/>
        </w:rPr>
        <w:tab/>
        <w:t>NEC</w:t>
      </w:r>
    </w:p>
    <w:p w14:paraId="60FA2417" w14:textId="468F6272" w:rsidR="000A3782" w:rsidRPr="00694E8E" w:rsidRDefault="000A3782" w:rsidP="000A3782">
      <w:pPr>
        <w:tabs>
          <w:tab w:val="left" w:pos="1820"/>
        </w:tabs>
        <w:spacing w:before="156" w:after="156"/>
        <w:rPr>
          <w:rFonts w:eastAsia="宋体" w:cs="Times New Roman"/>
          <w:b/>
          <w:bCs/>
          <w:sz w:val="24"/>
          <w:szCs w:val="24"/>
          <w:lang w:val="en-AU"/>
        </w:rPr>
      </w:pPr>
      <w:r w:rsidRPr="00FA58D0">
        <w:rPr>
          <w:rFonts w:eastAsia="宋体" w:cs="Times New Roman"/>
          <w:b/>
          <w:sz w:val="24"/>
          <w:szCs w:val="24"/>
          <w:lang w:val="en-AU"/>
        </w:rPr>
        <w:t>Title:</w:t>
      </w:r>
      <w:r w:rsidRPr="00FA58D0">
        <w:rPr>
          <w:rFonts w:eastAsia="宋体" w:cs="Times New Roman"/>
          <w:b/>
          <w:bCs/>
          <w:sz w:val="24"/>
          <w:szCs w:val="24"/>
          <w:lang w:val="en-AU"/>
        </w:rPr>
        <w:tab/>
      </w:r>
      <w:r w:rsidR="00F266AF">
        <w:rPr>
          <w:rFonts w:eastAsia="宋体" w:cs="Times New Roman"/>
          <w:b/>
          <w:bCs/>
          <w:sz w:val="24"/>
          <w:szCs w:val="24"/>
        </w:rPr>
        <w:t>Discussion</w:t>
      </w:r>
      <w:r w:rsidRPr="008A1896">
        <w:rPr>
          <w:rFonts w:eastAsia="宋体" w:cs="Times New Roman" w:hint="eastAsia"/>
          <w:b/>
          <w:bCs/>
          <w:sz w:val="24"/>
          <w:szCs w:val="24"/>
        </w:rPr>
        <w:t xml:space="preserve"> on Measurement Reports Enhancements</w:t>
      </w:r>
    </w:p>
    <w:bookmarkEnd w:id="2"/>
    <w:bookmarkEnd w:id="3"/>
    <w:p w14:paraId="77477E76" w14:textId="77777777" w:rsidR="000A3782" w:rsidRPr="00FA58D0" w:rsidRDefault="000A3782" w:rsidP="000A3782">
      <w:pPr>
        <w:pBdr>
          <w:bottom w:val="single" w:sz="6" w:space="1" w:color="auto"/>
        </w:pBdr>
        <w:tabs>
          <w:tab w:val="left" w:pos="1820"/>
        </w:tabs>
        <w:spacing w:beforeLines="0" w:afterLines="0"/>
        <w:rPr>
          <w:rFonts w:eastAsia="宋体" w:cs="Times New Roman"/>
          <w:b/>
          <w:bCs/>
          <w:sz w:val="24"/>
          <w:szCs w:val="24"/>
          <w:lang w:val="en-AU"/>
        </w:rPr>
      </w:pPr>
      <w:r w:rsidRPr="00FA58D0">
        <w:rPr>
          <w:rFonts w:eastAsia="宋体" w:cs="Times New Roman"/>
          <w:b/>
          <w:sz w:val="24"/>
          <w:szCs w:val="24"/>
          <w:lang w:val="en-AU"/>
        </w:rPr>
        <w:t>Document for:</w:t>
      </w:r>
      <w:r w:rsidRPr="00FA58D0">
        <w:rPr>
          <w:rFonts w:eastAsia="宋体" w:cs="Times New Roman"/>
          <w:b/>
          <w:bCs/>
          <w:sz w:val="24"/>
          <w:szCs w:val="24"/>
          <w:lang w:val="en-AU"/>
        </w:rPr>
        <w:tab/>
        <w:t>Discussion</w:t>
      </w:r>
    </w:p>
    <w:p w14:paraId="0CCB7B97" w14:textId="77777777" w:rsidR="000A3782" w:rsidRPr="00FA58D0" w:rsidRDefault="000A3782" w:rsidP="000A3782">
      <w:pPr>
        <w:pStyle w:val="1"/>
        <w:numPr>
          <w:ilvl w:val="0"/>
          <w:numId w:val="1"/>
        </w:numPr>
        <w:spacing w:before="156" w:after="156"/>
        <w:rPr>
          <w:rFonts w:eastAsia="宋体"/>
          <w:sz w:val="28"/>
          <w:szCs w:val="28"/>
        </w:rPr>
      </w:pPr>
      <w:r w:rsidRPr="00FA58D0">
        <w:rPr>
          <w:rFonts w:eastAsia="宋体"/>
          <w:sz w:val="28"/>
          <w:szCs w:val="28"/>
        </w:rPr>
        <w:t>Introduction</w:t>
      </w:r>
    </w:p>
    <w:p w14:paraId="5368B806" w14:textId="60E55812" w:rsidR="00A97ADD" w:rsidRPr="0010706A" w:rsidRDefault="006E5FC0" w:rsidP="00A97ADD">
      <w:pPr>
        <w:spacing w:before="156" w:after="156"/>
      </w:pPr>
      <w:r>
        <w:t xml:space="preserve">In RAN2 </w:t>
      </w:r>
      <w:r w:rsidR="00A97ADD">
        <w:t>1</w:t>
      </w:r>
      <w:r w:rsidR="008242A1">
        <w:t>2</w:t>
      </w:r>
      <w:r w:rsidR="00E55F8A">
        <w:t xml:space="preserve">1 </w:t>
      </w:r>
      <w:r w:rsidR="00A97ADD" w:rsidRPr="0010706A">
        <w:t>the below agreements were made [1]:</w:t>
      </w:r>
    </w:p>
    <w:tbl>
      <w:tblPr>
        <w:tblStyle w:val="ab"/>
        <w:tblW w:w="0" w:type="auto"/>
        <w:tblInd w:w="0" w:type="dxa"/>
        <w:tblLook w:val="04A0" w:firstRow="1" w:lastRow="0" w:firstColumn="1" w:lastColumn="0" w:noHBand="0" w:noVBand="1"/>
      </w:tblPr>
      <w:tblGrid>
        <w:gridCol w:w="9346"/>
      </w:tblGrid>
      <w:tr w:rsidR="000A3782" w14:paraId="74868CD0" w14:textId="77777777" w:rsidTr="0041565F">
        <w:tc>
          <w:tcPr>
            <w:tcW w:w="9346" w:type="dxa"/>
          </w:tcPr>
          <w:p w14:paraId="147D3D94"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 xml:space="preserve">When event H1 or H2 triggers, the content of the measurement report is configurable by the network (i.e. it can contain UAV UEs height, location information and/or RSRP/RSRQ measurement results). FFS whether UAV UE’s height is mandatorily reported and which parameter/IE is used for height reporting. </w:t>
            </w:r>
          </w:p>
          <w:p w14:paraId="23B00094" w14:textId="77777777" w:rsidR="008242A1" w:rsidRPr="005E44FB" w:rsidRDefault="008242A1" w:rsidP="008242A1">
            <w:pPr>
              <w:pStyle w:val="a3"/>
              <w:numPr>
                <w:ilvl w:val="0"/>
                <w:numId w:val="11"/>
              </w:numPr>
              <w:ind w:firstLineChars="0"/>
              <w:rPr>
                <w:rStyle w:val="af0"/>
                <w:i w:val="0"/>
                <w:highlight w:val="green"/>
                <w:lang w:val="en-US"/>
              </w:rPr>
            </w:pPr>
            <w:r w:rsidRPr="005E44FB">
              <w:rPr>
                <w:rStyle w:val="af0"/>
                <w:i w:val="0"/>
                <w:highlight w:val="green"/>
                <w:lang w:val="en-US"/>
              </w:rPr>
              <w:t>Joint use of height-dependent condition and RSRP/RSRQ/SINR-based condition for measurement report triggering is supported in NR Rel-18 UAV.   The combination of existing events will be used</w:t>
            </w:r>
          </w:p>
          <w:p w14:paraId="3212EEE1"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Height-dependent parameter scaling is not supported as a part of Rel-18 NR</w:t>
            </w:r>
          </w:p>
          <w:p w14:paraId="1B6301A9"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Do not extend the Number of triggering cells mechanism to apply to the inter-RAT scenario, i.e. event B1 and B2 triggering</w:t>
            </w:r>
          </w:p>
          <w:p w14:paraId="404374A8"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 xml:space="preserve">Do not restrict the applicability of Number of triggering cells mechanism to FR1 only. In other words, the Number of triggering cells mechanism is applicable to FR1 and FR2 (up to network configuration).  </w:t>
            </w:r>
          </w:p>
          <w:p w14:paraId="76DF16B6" w14:textId="77777777" w:rsidR="008242A1" w:rsidRPr="00741B01" w:rsidRDefault="008242A1" w:rsidP="008242A1">
            <w:pPr>
              <w:pStyle w:val="a3"/>
              <w:numPr>
                <w:ilvl w:val="0"/>
                <w:numId w:val="11"/>
              </w:numPr>
              <w:ind w:firstLineChars="0"/>
              <w:rPr>
                <w:rStyle w:val="af0"/>
                <w:i w:val="0"/>
                <w:lang w:val="en-US"/>
              </w:rPr>
            </w:pPr>
            <w:r w:rsidRPr="00741B01">
              <w:rPr>
                <w:rStyle w:val="af0"/>
                <w:i w:val="0"/>
                <w:lang w:val="en-US"/>
              </w:rPr>
              <w:t>The UE shall not ignore or bypass the Number of triggering cells mechanism, once configured.</w:t>
            </w:r>
          </w:p>
          <w:p w14:paraId="67774178"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Do not introduce the use of a “numberOfTriggeringBeams” mechanism.</w:t>
            </w:r>
          </w:p>
          <w:p w14:paraId="65179473"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 xml:space="preserve">Do not introduce an alternative mechanism to the Number of triggering cells mechanism. </w:t>
            </w:r>
          </w:p>
          <w:p w14:paraId="54A6E348"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 xml:space="preserve">Do not introduce an additional mechanism based on Number of changed cells. </w:t>
            </w:r>
          </w:p>
          <w:p w14:paraId="216A2364" w14:textId="77777777" w:rsidR="008242A1" w:rsidRPr="008242A1" w:rsidRDefault="008242A1" w:rsidP="008242A1">
            <w:pPr>
              <w:pStyle w:val="a3"/>
              <w:numPr>
                <w:ilvl w:val="0"/>
                <w:numId w:val="11"/>
              </w:numPr>
              <w:ind w:firstLineChars="0"/>
              <w:rPr>
                <w:rStyle w:val="af0"/>
                <w:i w:val="0"/>
                <w:lang w:val="en-US"/>
              </w:rPr>
            </w:pPr>
            <w:r w:rsidRPr="008242A1">
              <w:rPr>
                <w:rStyle w:val="af0"/>
                <w:i w:val="0"/>
                <w:lang w:val="en-US"/>
              </w:rPr>
              <w:t xml:space="preserve">For the purpose of interference control (i.e. for number of trigger cells), do not introduce a prohibit timer mechanism. </w:t>
            </w:r>
          </w:p>
          <w:p w14:paraId="2080493E" w14:textId="3495959E" w:rsidR="00336959" w:rsidRPr="008242A1" w:rsidRDefault="008242A1" w:rsidP="008242A1">
            <w:pPr>
              <w:pStyle w:val="a3"/>
              <w:numPr>
                <w:ilvl w:val="0"/>
                <w:numId w:val="11"/>
              </w:numPr>
              <w:ind w:firstLineChars="0"/>
              <w:rPr>
                <w:iCs/>
                <w:lang w:val="en-US"/>
              </w:rPr>
            </w:pPr>
            <w:r w:rsidRPr="008242A1">
              <w:rPr>
                <w:rStyle w:val="af0"/>
                <w:i w:val="0"/>
                <w:lang w:val="en-US"/>
              </w:rPr>
              <w:t xml:space="preserve">Report on leave is not triggered by a cell that was not previously included in the measurement report for the number of triggering cell.  </w:t>
            </w:r>
          </w:p>
        </w:tc>
      </w:tr>
    </w:tbl>
    <w:p w14:paraId="68D4F7BA" w14:textId="1F6F743D" w:rsidR="000A3782" w:rsidRPr="00FA58D0" w:rsidRDefault="000A3782" w:rsidP="007D303C">
      <w:pPr>
        <w:spacing w:before="156" w:after="156"/>
      </w:pPr>
      <w:r w:rsidRPr="004F2A70">
        <w:t xml:space="preserve">This </w:t>
      </w:r>
      <w:r>
        <w:t>contribution</w:t>
      </w:r>
      <w:r w:rsidRPr="004F2A70">
        <w:t xml:space="preserve"> provides our considerations on </w:t>
      </w:r>
      <w:r w:rsidRPr="000D2549">
        <w:t>measurement reports</w:t>
      </w:r>
      <w:r w:rsidR="0065473B" w:rsidRPr="0065473B">
        <w:t xml:space="preserve"> </w:t>
      </w:r>
      <w:r w:rsidR="0065473B" w:rsidRPr="000D2549">
        <w:t>enhancements</w:t>
      </w:r>
      <w:r>
        <w:t>.</w:t>
      </w:r>
      <w:r w:rsidR="00F444AF">
        <w:t xml:space="preserve"> </w:t>
      </w:r>
    </w:p>
    <w:p w14:paraId="4D3097A0" w14:textId="6761BEA6" w:rsidR="000A3782" w:rsidRDefault="000A3782" w:rsidP="000A3782">
      <w:pPr>
        <w:pStyle w:val="1"/>
        <w:numPr>
          <w:ilvl w:val="0"/>
          <w:numId w:val="1"/>
        </w:numPr>
        <w:spacing w:before="156" w:after="156"/>
        <w:rPr>
          <w:rFonts w:eastAsia="宋体"/>
          <w:sz w:val="28"/>
          <w:szCs w:val="28"/>
        </w:rPr>
      </w:pPr>
      <w:r w:rsidRPr="00FA58D0">
        <w:rPr>
          <w:rFonts w:eastAsia="宋体"/>
          <w:sz w:val="28"/>
          <w:szCs w:val="28"/>
        </w:rPr>
        <w:t>Discussion</w:t>
      </w:r>
      <w:r w:rsidR="009D5C58">
        <w:rPr>
          <w:rFonts w:eastAsia="宋体"/>
          <w:sz w:val="28"/>
          <w:szCs w:val="28"/>
        </w:rPr>
        <w:t xml:space="preserve"> </w:t>
      </w:r>
    </w:p>
    <w:p w14:paraId="141D8675" w14:textId="5B485A9D" w:rsidR="006E75D4" w:rsidRPr="007D303C" w:rsidRDefault="006E75D4" w:rsidP="006E75D4">
      <w:pPr>
        <w:pStyle w:val="2"/>
        <w:spacing w:before="156"/>
        <w:ind w:right="200"/>
        <w:rPr>
          <w:rFonts w:eastAsia="宋体"/>
        </w:rPr>
      </w:pPr>
      <w:r w:rsidRPr="007D303C">
        <w:rPr>
          <w:rFonts w:eastAsia="宋体"/>
        </w:rPr>
        <w:t xml:space="preserve">2.1 </w:t>
      </w:r>
      <w:r w:rsidR="009906CE">
        <w:rPr>
          <w:rFonts w:eastAsia="宋体"/>
        </w:rPr>
        <w:t>Joint con</w:t>
      </w:r>
      <w:r w:rsidR="00841F54">
        <w:rPr>
          <w:rFonts w:eastAsia="宋体"/>
        </w:rPr>
        <w:t>dition for measurement report</w:t>
      </w:r>
      <w:r w:rsidR="009906CE">
        <w:rPr>
          <w:rFonts w:eastAsia="宋体"/>
        </w:rPr>
        <w:t xml:space="preserve"> triggering</w:t>
      </w:r>
    </w:p>
    <w:p w14:paraId="26CF0CAC" w14:textId="0FC7A75C" w:rsidR="005C53C3" w:rsidRDefault="008E5139" w:rsidP="00C77C20">
      <w:pPr>
        <w:spacing w:before="156" w:after="156"/>
      </w:pPr>
      <w:r>
        <w:rPr>
          <w:rFonts w:eastAsia="宋体" w:hint="eastAsia"/>
        </w:rPr>
        <w:t>J</w:t>
      </w:r>
      <w:r>
        <w:rPr>
          <w:rFonts w:eastAsia="宋体"/>
        </w:rPr>
        <w:t>oint use of height dependent conditions</w:t>
      </w:r>
      <w:r w:rsidRPr="008E5139">
        <w:t xml:space="preserve"> </w:t>
      </w:r>
      <w:r w:rsidRPr="008E5139">
        <w:rPr>
          <w:rFonts w:eastAsia="宋体"/>
        </w:rPr>
        <w:t>and RSRP/RSRQ/SINR-based condition</w:t>
      </w:r>
      <w:r>
        <w:rPr>
          <w:rFonts w:eastAsia="宋体"/>
        </w:rPr>
        <w:t xml:space="preserve"> for measurement </w:t>
      </w:r>
      <w:r w:rsidR="003654AA">
        <w:rPr>
          <w:rFonts w:eastAsia="宋体"/>
        </w:rPr>
        <w:t xml:space="preserve">report </w:t>
      </w:r>
      <w:r>
        <w:rPr>
          <w:rFonts w:eastAsia="宋体"/>
        </w:rPr>
        <w:t>triggering</w:t>
      </w:r>
      <w:r w:rsidR="00805220">
        <w:rPr>
          <w:rFonts w:eastAsia="宋体"/>
        </w:rPr>
        <w:t xml:space="preserve"> can provide the network more accurate information for handover and </w:t>
      </w:r>
      <w:r w:rsidR="007E54F1">
        <w:rPr>
          <w:rFonts w:eastAsia="宋体"/>
        </w:rPr>
        <w:t xml:space="preserve">is </w:t>
      </w:r>
      <w:r w:rsidR="003654AA">
        <w:rPr>
          <w:rFonts w:eastAsia="宋体"/>
        </w:rPr>
        <w:t xml:space="preserve">beneficial </w:t>
      </w:r>
      <w:r w:rsidR="007E54F1">
        <w:rPr>
          <w:rFonts w:eastAsia="宋体"/>
        </w:rPr>
        <w:t xml:space="preserve">for </w:t>
      </w:r>
      <w:r w:rsidR="005E5B22">
        <w:rPr>
          <w:rFonts w:eastAsia="宋体"/>
        </w:rPr>
        <w:t xml:space="preserve">vertical mobility. </w:t>
      </w:r>
      <w:r w:rsidR="00507A5E">
        <w:t xml:space="preserve">Regarding how to introduce </w:t>
      </w:r>
      <w:r w:rsidR="00507A5E">
        <w:rPr>
          <w:rFonts w:eastAsia="宋体"/>
        </w:rPr>
        <w:t xml:space="preserve">a </w:t>
      </w:r>
      <w:r w:rsidR="00507A5E" w:rsidRPr="00C77C20">
        <w:rPr>
          <w:rFonts w:eastAsia="宋体"/>
        </w:rPr>
        <w:t>new</w:t>
      </w:r>
      <w:r w:rsidR="00507A5E">
        <w:rPr>
          <w:rFonts w:eastAsia="宋体"/>
        </w:rPr>
        <w:t xml:space="preserve"> measurement report triggering mechanism</w:t>
      </w:r>
      <w:r w:rsidR="00507A5E">
        <w:t xml:space="preserve"> combining height-dependent condition and RSRP/RSRQ/SINR-based condition, there are several options can be considered:</w:t>
      </w:r>
    </w:p>
    <w:p w14:paraId="5C174905" w14:textId="596E9FBF" w:rsidR="005C53C3" w:rsidRPr="005C53C3" w:rsidRDefault="005C53C3" w:rsidP="004E3BD7">
      <w:pPr>
        <w:pStyle w:val="a3"/>
        <w:numPr>
          <w:ilvl w:val="0"/>
          <w:numId w:val="34"/>
        </w:numPr>
        <w:spacing w:before="120" w:after="120"/>
        <w:ind w:firstLineChars="0"/>
      </w:pPr>
      <w:r>
        <w:t>Option 1:</w:t>
      </w:r>
      <w:r w:rsidR="002A057A">
        <w:t xml:space="preserve"> ONE</w:t>
      </w:r>
      <w:r w:rsidR="00F03220">
        <w:t xml:space="preserve"> r</w:t>
      </w:r>
      <w:r w:rsidRPr="005C53C3">
        <w:t>eport</w:t>
      </w:r>
      <w:r w:rsidR="00F03220">
        <w:t xml:space="preserve"> </w:t>
      </w:r>
      <w:r w:rsidR="008E484B">
        <w:t>c</w:t>
      </w:r>
      <w:r w:rsidR="008E484B" w:rsidRPr="005C53C3">
        <w:t>onfig</w:t>
      </w:r>
      <w:r w:rsidR="008E484B">
        <w:t>uration</w:t>
      </w:r>
      <w:r w:rsidR="00EA6467">
        <w:t xml:space="preserve"> links to </w:t>
      </w:r>
      <w:r w:rsidR="002A057A">
        <w:t>TWO</w:t>
      </w:r>
      <w:r w:rsidR="00EA6467">
        <w:t xml:space="preserve"> measurement</w:t>
      </w:r>
      <w:r w:rsidR="009C68CC">
        <w:t xml:space="preserve"> events</w:t>
      </w:r>
      <w:r w:rsidRPr="005C53C3">
        <w:t xml:space="preserve">. </w:t>
      </w:r>
    </w:p>
    <w:p w14:paraId="66F23139" w14:textId="1E1539E7" w:rsidR="009C23A9" w:rsidRDefault="00C26FBF" w:rsidP="004E3BD7">
      <w:pPr>
        <w:pStyle w:val="a3"/>
        <w:numPr>
          <w:ilvl w:val="0"/>
          <w:numId w:val="34"/>
        </w:numPr>
        <w:spacing w:before="120" w:after="120"/>
        <w:ind w:firstLineChars="0"/>
      </w:pPr>
      <w:r>
        <w:lastRenderedPageBreak/>
        <w:t>Option 2</w:t>
      </w:r>
      <w:r w:rsidR="005C53C3" w:rsidRPr="005C53C3">
        <w:t xml:space="preserve">: </w:t>
      </w:r>
      <w:r w:rsidR="002A057A">
        <w:t>ONE</w:t>
      </w:r>
      <w:r w:rsidR="002A057A" w:rsidRPr="005C53C3">
        <w:t xml:space="preserve"> </w:t>
      </w:r>
      <w:r w:rsidR="00F03220">
        <w:t>m</w:t>
      </w:r>
      <w:r w:rsidR="00EA6467" w:rsidRPr="005C53C3">
        <w:t xml:space="preserve">easurement ID </w:t>
      </w:r>
      <w:r w:rsidR="00EA6467">
        <w:t xml:space="preserve">links to </w:t>
      </w:r>
      <w:r w:rsidR="002A057A">
        <w:t xml:space="preserve">TWO </w:t>
      </w:r>
      <w:r w:rsidR="00F03220">
        <w:t>r</w:t>
      </w:r>
      <w:r w:rsidR="001251F9">
        <w:t>eport</w:t>
      </w:r>
      <w:r w:rsidR="00F03220">
        <w:t xml:space="preserve"> </w:t>
      </w:r>
      <w:r w:rsidR="008E484B">
        <w:t>configurations</w:t>
      </w:r>
      <w:r w:rsidR="001251F9">
        <w:t>.</w:t>
      </w:r>
    </w:p>
    <w:p w14:paraId="1B78A447" w14:textId="2378AC67" w:rsidR="00EF037B" w:rsidRPr="00BA46B6" w:rsidRDefault="004F1213" w:rsidP="004E3BD7">
      <w:pPr>
        <w:pStyle w:val="a3"/>
        <w:numPr>
          <w:ilvl w:val="0"/>
          <w:numId w:val="34"/>
        </w:numPr>
        <w:spacing w:before="120" w:after="120"/>
        <w:ind w:firstLineChars="0"/>
        <w:rPr>
          <w:rFonts w:eastAsiaTheme="minorEastAsia"/>
        </w:rPr>
      </w:pPr>
      <w:r>
        <w:t xml:space="preserve">Option 3: Link </w:t>
      </w:r>
      <w:r w:rsidR="002A057A">
        <w:t xml:space="preserve">TWO </w:t>
      </w:r>
      <w:r w:rsidR="00F03220">
        <w:t>m</w:t>
      </w:r>
      <w:r w:rsidRPr="005C53C3">
        <w:t>easurement ID</w:t>
      </w:r>
      <w:r w:rsidR="008E484B">
        <w:t>s</w:t>
      </w:r>
      <w:r w:rsidR="00E435FB">
        <w:t>.</w:t>
      </w:r>
    </w:p>
    <w:p w14:paraId="55375E02" w14:textId="7E1539CA" w:rsidR="000B7156" w:rsidRPr="00E42507" w:rsidRDefault="008F3620" w:rsidP="008F3620">
      <w:pPr>
        <w:spacing w:before="156" w:after="156"/>
        <w:rPr>
          <w:rFonts w:eastAsiaTheme="minorEastAsia" w:hint="eastAsia"/>
        </w:rPr>
      </w:pPr>
      <w:r>
        <w:rPr>
          <w:rFonts w:eastAsia="宋体"/>
        </w:rPr>
        <w:t xml:space="preserve">Both Option 1 and option 2 can reuse the legacy measurement events. </w:t>
      </w:r>
      <w:r w:rsidR="007C2623">
        <w:rPr>
          <w:rFonts w:eastAsia="宋体"/>
        </w:rPr>
        <w:t>As for Option 3, a</w:t>
      </w:r>
      <w:r>
        <w:rPr>
          <w:rFonts w:eastAsia="宋体"/>
        </w:rPr>
        <w:t xml:space="preserve">lthough </w:t>
      </w:r>
      <w:r w:rsidR="007C2623">
        <w:rPr>
          <w:rFonts w:eastAsia="宋体"/>
        </w:rPr>
        <w:t>it</w:t>
      </w:r>
      <w:r>
        <w:rPr>
          <w:rFonts w:eastAsia="宋体"/>
        </w:rPr>
        <w:t xml:space="preserve"> is similar to what we have in </w:t>
      </w:r>
      <w:r>
        <w:t>conditional reconfiguration (e.g. CHO, CPAC)</w:t>
      </w:r>
      <w:r>
        <w:rPr>
          <w:rFonts w:eastAsia="宋体"/>
        </w:rPr>
        <w:t>, it breaks the definiti</w:t>
      </w:r>
      <w:r w:rsidRPr="006E2412">
        <w:rPr>
          <w:rFonts w:eastAsia="宋体"/>
        </w:rPr>
        <w:t xml:space="preserve">on of the </w:t>
      </w:r>
      <w:r w:rsidRPr="006E2412">
        <w:t>Reporting criterion</w:t>
      </w:r>
      <w:r w:rsidRPr="006E2412">
        <w:rPr>
          <w:rFonts w:eastAsia="宋体"/>
        </w:rPr>
        <w:t xml:space="preserve"> in Reporting configurations. </w:t>
      </w:r>
      <w:r w:rsidRPr="006E2412">
        <w:rPr>
          <w:rFonts w:eastAsia="宋体"/>
          <w:lang w:val="en-GB"/>
        </w:rPr>
        <w:t xml:space="preserve">If we </w:t>
      </w:r>
      <w:r w:rsidR="000431EB" w:rsidRPr="006E2412">
        <w:rPr>
          <w:rFonts w:eastAsia="宋体" w:hint="eastAsia"/>
          <w:lang w:val="en-GB"/>
        </w:rPr>
        <w:t>g</w:t>
      </w:r>
      <w:r w:rsidR="000431EB" w:rsidRPr="006E2412">
        <w:rPr>
          <w:rFonts w:eastAsia="宋体"/>
          <w:lang w:val="en-GB"/>
        </w:rPr>
        <w:t xml:space="preserve">o with </w:t>
      </w:r>
      <w:r w:rsidR="00B44354" w:rsidRPr="006E2412">
        <w:rPr>
          <w:rFonts w:eastAsia="宋体" w:hint="eastAsia"/>
          <w:lang w:val="en-GB"/>
        </w:rPr>
        <w:t>O</w:t>
      </w:r>
      <w:r w:rsidR="00A14D3B" w:rsidRPr="006E2412">
        <w:rPr>
          <w:rFonts w:eastAsia="宋体"/>
          <w:lang w:val="en-GB"/>
        </w:rPr>
        <w:t>ption</w:t>
      </w:r>
      <w:r w:rsidR="000431EB" w:rsidRPr="006E2412">
        <w:rPr>
          <w:rFonts w:eastAsia="宋体"/>
          <w:lang w:val="en-GB"/>
        </w:rPr>
        <w:t xml:space="preserve"> 3</w:t>
      </w:r>
      <w:r w:rsidRPr="006E2412">
        <w:t>, we need to ex</w:t>
      </w:r>
      <w:r w:rsidR="00361C22" w:rsidRPr="006E2412">
        <w:t>tend</w:t>
      </w:r>
      <w:r w:rsidRPr="006E2412">
        <w:t xml:space="preserve"> the definition of Execution criteria to initiate measurement report. </w:t>
      </w:r>
    </w:p>
    <w:tbl>
      <w:tblPr>
        <w:tblStyle w:val="ab"/>
        <w:tblpPr w:leftFromText="180" w:rightFromText="180" w:vertAnchor="text" w:horzAnchor="margin" w:tblpY="148"/>
        <w:tblW w:w="0" w:type="auto"/>
        <w:tblInd w:w="0" w:type="dxa"/>
        <w:tblLook w:val="04A0" w:firstRow="1" w:lastRow="0" w:firstColumn="1" w:lastColumn="0" w:noHBand="0" w:noVBand="1"/>
      </w:tblPr>
      <w:tblGrid>
        <w:gridCol w:w="9346"/>
      </w:tblGrid>
      <w:tr w:rsidR="000F0A9E" w14:paraId="486118F4" w14:textId="77777777" w:rsidTr="000F0A9E">
        <w:tc>
          <w:tcPr>
            <w:tcW w:w="9346" w:type="dxa"/>
          </w:tcPr>
          <w:p w14:paraId="70E6AB98" w14:textId="77777777" w:rsidR="000F0A9E" w:rsidRPr="00621B6F" w:rsidRDefault="000F0A9E" w:rsidP="00C41D29">
            <w:pPr>
              <w:overflowPunct w:val="0"/>
              <w:autoSpaceDE w:val="0"/>
              <w:autoSpaceDN w:val="0"/>
              <w:adjustRightInd w:val="0"/>
              <w:spacing w:beforeLines="0" w:before="120" w:afterLines="0" w:after="120"/>
              <w:ind w:left="284" w:hanging="284"/>
              <w:jc w:val="left"/>
              <w:rPr>
                <w:sz w:val="21"/>
                <w:lang w:eastAsia="ja-JP"/>
              </w:rPr>
            </w:pPr>
            <w:r w:rsidRPr="00621B6F">
              <w:rPr>
                <w:b/>
                <w:sz w:val="21"/>
                <w:lang w:eastAsia="ja-JP"/>
              </w:rPr>
              <w:tab/>
              <w:t xml:space="preserve">Reporting configurations: </w:t>
            </w:r>
            <w:r w:rsidRPr="00621B6F">
              <w:rPr>
                <w:sz w:val="21"/>
                <w:lang w:eastAsia="ja-JP"/>
              </w:rPr>
              <w:t>A list of reporting configurations where there can be one or multiple reporting configurations per measurement object. Each measurement reporting configuration consists of the following:</w:t>
            </w:r>
          </w:p>
          <w:p w14:paraId="5C51EB71" w14:textId="77777777" w:rsidR="000F0A9E" w:rsidRPr="00621B6F" w:rsidRDefault="000F0A9E" w:rsidP="00C41D2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r>
            <w:r w:rsidRPr="00BA46B6">
              <w:rPr>
                <w:sz w:val="21"/>
                <w:highlight w:val="green"/>
                <w:lang w:eastAsia="ja-JP"/>
              </w:rPr>
              <w:t>Reporting criterion: The criterion that triggers the UE to send a measurement report. This can either be periodical or a single event description.</w:t>
            </w:r>
          </w:p>
          <w:p w14:paraId="4DC22664" w14:textId="77777777" w:rsidR="000F0A9E" w:rsidRPr="00621B6F" w:rsidRDefault="000F0A9E" w:rsidP="00C41D2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t>RS type: The RS that the UE uses for beam and cell measurement results (SS/PBCH block or CSI-RS).</w:t>
            </w:r>
          </w:p>
          <w:p w14:paraId="2C47AA17" w14:textId="77777777" w:rsidR="000F0A9E" w:rsidRPr="00621B6F" w:rsidRDefault="000F0A9E" w:rsidP="00C41D29">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t>Reporting format: The quantities per cell and per beam that the UE includes in the measurement report (e.g. RSRP) and other associated information such as the maximum number of cells and the maximum number beams per cell to report.</w:t>
            </w:r>
          </w:p>
          <w:p w14:paraId="5454ED13" w14:textId="77777777" w:rsidR="000F0A9E" w:rsidRPr="00621B6F" w:rsidRDefault="000F0A9E" w:rsidP="00C41D29">
            <w:pPr>
              <w:overflowPunct w:val="0"/>
              <w:autoSpaceDE w:val="0"/>
              <w:autoSpaceDN w:val="0"/>
              <w:adjustRightInd w:val="0"/>
              <w:spacing w:beforeLines="0" w:before="0" w:afterLines="0" w:after="180"/>
              <w:ind w:left="284" w:hanging="284"/>
              <w:jc w:val="left"/>
              <w:rPr>
                <w:sz w:val="21"/>
                <w:lang w:eastAsia="ja-JP"/>
              </w:rPr>
            </w:pPr>
            <w:r w:rsidRPr="00621B6F">
              <w:rPr>
                <w:sz w:val="21"/>
                <w:lang w:eastAsia="ja-JP"/>
              </w:rPr>
              <w:t>In case of conditional reconfiguration, each configuration consists of the following:</w:t>
            </w:r>
          </w:p>
          <w:p w14:paraId="5917DEFF" w14:textId="77777777" w:rsidR="000F0A9E" w:rsidRPr="00621B6F" w:rsidRDefault="000F0A9E" w:rsidP="007E0C55">
            <w:pPr>
              <w:overflowPunct w:val="0"/>
              <w:autoSpaceDE w:val="0"/>
              <w:autoSpaceDN w:val="0"/>
              <w:adjustRightInd w:val="0"/>
              <w:spacing w:beforeLines="0" w:before="0" w:afterLines="0" w:after="180"/>
              <w:ind w:leftChars="100" w:left="484" w:hanging="284"/>
              <w:jc w:val="left"/>
              <w:rPr>
                <w:sz w:val="21"/>
                <w:lang w:eastAsia="ja-JP"/>
              </w:rPr>
            </w:pPr>
            <w:r w:rsidRPr="00621B6F">
              <w:rPr>
                <w:sz w:val="21"/>
                <w:lang w:eastAsia="ja-JP"/>
              </w:rPr>
              <w:t>-</w:t>
            </w:r>
            <w:r w:rsidRPr="00621B6F">
              <w:rPr>
                <w:sz w:val="21"/>
                <w:lang w:eastAsia="ja-JP"/>
              </w:rPr>
              <w:tab/>
            </w:r>
            <w:bookmarkStart w:id="4" w:name="OLE_LINK30"/>
            <w:r w:rsidRPr="00987891">
              <w:rPr>
                <w:sz w:val="21"/>
                <w:highlight w:val="green"/>
                <w:lang w:eastAsia="ja-JP"/>
              </w:rPr>
              <w:t>Execution criteria: The criteria the UE uses for conditional reconfiguration execution.</w:t>
            </w:r>
          </w:p>
          <w:bookmarkEnd w:id="4"/>
          <w:p w14:paraId="03D2C876" w14:textId="77777777" w:rsidR="000F0A9E" w:rsidRPr="00CB7191" w:rsidRDefault="000F0A9E" w:rsidP="007E0C55">
            <w:pPr>
              <w:overflowPunct w:val="0"/>
              <w:autoSpaceDE w:val="0"/>
              <w:autoSpaceDN w:val="0"/>
              <w:adjustRightInd w:val="0"/>
              <w:spacing w:beforeLines="0" w:before="120" w:afterLines="0" w:after="120"/>
              <w:ind w:leftChars="100" w:left="484" w:hanging="284"/>
              <w:jc w:val="left"/>
              <w:rPr>
                <w:rFonts w:eastAsia="MS Gothic"/>
                <w:sz w:val="21"/>
                <w:lang w:eastAsia="ja-JP"/>
              </w:rPr>
            </w:pPr>
            <w:r w:rsidRPr="00621B6F">
              <w:rPr>
                <w:sz w:val="21"/>
                <w:lang w:eastAsia="ja-JP"/>
              </w:rPr>
              <w:t>-</w:t>
            </w:r>
            <w:r w:rsidRPr="00621B6F">
              <w:rPr>
                <w:sz w:val="21"/>
                <w:lang w:eastAsia="ja-JP"/>
              </w:rPr>
              <w:tab/>
              <w:t>RS type: The RS that the UE uses for obtaining beam and cell measurement results (SS/PBCH block-based or CSI-RS-based), used for evaluating conditional reconfiguration execution condition.</w:t>
            </w:r>
          </w:p>
        </w:tc>
      </w:tr>
    </w:tbl>
    <w:p w14:paraId="26B437F9" w14:textId="561EB97A" w:rsidR="00A75160" w:rsidRDefault="000F0A9E" w:rsidP="008F3620">
      <w:pPr>
        <w:spacing w:before="156" w:after="156"/>
      </w:pPr>
      <w:r>
        <w:t xml:space="preserve">Additionally, </w:t>
      </w:r>
      <w:r w:rsidR="00861346">
        <w:t xml:space="preserve">in </w:t>
      </w:r>
      <w:r>
        <w:t xml:space="preserve">current </w:t>
      </w:r>
      <w:r w:rsidR="008E484B">
        <w:t>m</w:t>
      </w:r>
      <w:r w:rsidR="004F269A">
        <w:t>easurement report triggering p</w:t>
      </w:r>
      <w:r>
        <w:t>rocedure</w:t>
      </w:r>
      <w:r w:rsidR="00861346">
        <w:t>, UE</w:t>
      </w:r>
      <w:r>
        <w:t xml:space="preserve"> evaluate</w:t>
      </w:r>
      <w:r w:rsidR="00551731">
        <w:t>s</w:t>
      </w:r>
      <w:r>
        <w:t xml:space="preserve"> triggering conditions for each </w:t>
      </w:r>
      <w:r w:rsidRPr="00E41C97">
        <w:rPr>
          <w:b/>
          <w:i/>
        </w:rPr>
        <w:t>measId</w:t>
      </w:r>
      <w:r w:rsidR="00A4322D">
        <w:t xml:space="preserve">, so </w:t>
      </w:r>
      <w:r w:rsidR="00664CCC">
        <w:t>O</w:t>
      </w:r>
      <w:r w:rsidR="00DB1EBE">
        <w:t>ption 3 also</w:t>
      </w:r>
      <w:r w:rsidR="00A6662C">
        <w:t xml:space="preserve"> have </w:t>
      </w:r>
      <w:r w:rsidR="00A6662C" w:rsidRPr="00A6662C">
        <w:t xml:space="preserve">non-negligible </w:t>
      </w:r>
      <w:r w:rsidR="00DB1EBE">
        <w:t>impact</w:t>
      </w:r>
      <w:r w:rsidR="00A6662C">
        <w:t>s on</w:t>
      </w:r>
      <w:r w:rsidR="00DB1EBE">
        <w:t xml:space="preserve"> this part.</w:t>
      </w:r>
    </w:p>
    <w:tbl>
      <w:tblPr>
        <w:tblStyle w:val="ab"/>
        <w:tblpPr w:leftFromText="180" w:rightFromText="180" w:vertAnchor="text" w:horzAnchor="margin" w:tblpY="148"/>
        <w:tblW w:w="0" w:type="auto"/>
        <w:tblInd w:w="0" w:type="dxa"/>
        <w:tblLook w:val="04A0" w:firstRow="1" w:lastRow="0" w:firstColumn="1" w:lastColumn="0" w:noHBand="0" w:noVBand="1"/>
      </w:tblPr>
      <w:tblGrid>
        <w:gridCol w:w="9346"/>
      </w:tblGrid>
      <w:tr w:rsidR="000F0A9E" w14:paraId="041E0340" w14:textId="77777777" w:rsidTr="00A6662C">
        <w:tc>
          <w:tcPr>
            <w:tcW w:w="9346" w:type="dxa"/>
          </w:tcPr>
          <w:p w14:paraId="6F4D3325" w14:textId="77777777" w:rsidR="002A11D3" w:rsidRPr="002A11D3" w:rsidRDefault="002A11D3" w:rsidP="002A11D3">
            <w:pPr>
              <w:keepNext/>
              <w:keepLines/>
              <w:overflowPunct w:val="0"/>
              <w:autoSpaceDE w:val="0"/>
              <w:autoSpaceDN w:val="0"/>
              <w:adjustRightInd w:val="0"/>
              <w:spacing w:beforeLines="0" w:before="120" w:afterLines="0" w:after="120"/>
              <w:ind w:left="1134" w:hanging="1134"/>
              <w:jc w:val="left"/>
              <w:outlineLvl w:val="2"/>
              <w:rPr>
                <w:rFonts w:ascii="Arial" w:hAnsi="Arial"/>
                <w:sz w:val="28"/>
                <w:lang w:eastAsia="ja-JP"/>
              </w:rPr>
            </w:pPr>
            <w:bookmarkStart w:id="5" w:name="_Toc115428610"/>
            <w:r w:rsidRPr="002A11D3">
              <w:rPr>
                <w:rFonts w:ascii="Arial" w:hAnsi="Arial"/>
                <w:sz w:val="28"/>
                <w:lang w:eastAsia="ja-JP"/>
              </w:rPr>
              <w:t>5.5.4</w:t>
            </w:r>
            <w:r w:rsidRPr="002A11D3">
              <w:rPr>
                <w:rFonts w:ascii="Arial" w:hAnsi="Arial"/>
                <w:sz w:val="28"/>
                <w:lang w:eastAsia="ja-JP"/>
              </w:rPr>
              <w:tab/>
              <w:t>Measurement report triggering</w:t>
            </w:r>
            <w:bookmarkEnd w:id="5"/>
          </w:p>
          <w:p w14:paraId="16340228" w14:textId="0596E685" w:rsidR="002A11D3" w:rsidRPr="007E0C55" w:rsidRDefault="002A11D3" w:rsidP="007E0C55">
            <w:pPr>
              <w:keepNext/>
              <w:keepLines/>
              <w:overflowPunct w:val="0"/>
              <w:autoSpaceDE w:val="0"/>
              <w:autoSpaceDN w:val="0"/>
              <w:adjustRightInd w:val="0"/>
              <w:spacing w:beforeLines="0" w:before="120" w:afterLines="0" w:after="120"/>
              <w:ind w:left="1418" w:hanging="1418"/>
              <w:jc w:val="left"/>
              <w:outlineLvl w:val="3"/>
              <w:rPr>
                <w:rFonts w:ascii="Arial" w:eastAsia="MS Gothic" w:hAnsi="Arial"/>
                <w:sz w:val="24"/>
                <w:lang w:eastAsia="ja-JP"/>
              </w:rPr>
            </w:pPr>
            <w:bookmarkStart w:id="6" w:name="_Toc115428611"/>
            <w:bookmarkStart w:id="7" w:name="_Toc60776886"/>
            <w:r w:rsidRPr="002A11D3">
              <w:rPr>
                <w:rFonts w:ascii="Arial" w:hAnsi="Arial"/>
                <w:sz w:val="24"/>
                <w:lang w:eastAsia="ja-JP"/>
              </w:rPr>
              <w:t>5.5.4.1</w:t>
            </w:r>
            <w:r w:rsidRPr="002A11D3">
              <w:rPr>
                <w:rFonts w:ascii="Arial" w:hAnsi="Arial"/>
                <w:sz w:val="24"/>
                <w:lang w:eastAsia="ja-JP"/>
              </w:rPr>
              <w:tab/>
              <w:t>General</w:t>
            </w:r>
            <w:bookmarkEnd w:id="6"/>
            <w:bookmarkEnd w:id="7"/>
          </w:p>
          <w:p w14:paraId="4DD6A31A" w14:textId="06AF82A7" w:rsidR="000F0A9E" w:rsidRDefault="000F0A9E" w:rsidP="000F0A9E">
            <w:pPr>
              <w:spacing w:before="156" w:after="156"/>
            </w:pPr>
            <w:r>
              <w:t>If AS security has been activated successfully, the UE shall:</w:t>
            </w:r>
          </w:p>
          <w:p w14:paraId="3E3BF7C9" w14:textId="77777777" w:rsidR="000F0A9E" w:rsidRDefault="000F0A9E" w:rsidP="000F0A9E">
            <w:pPr>
              <w:pStyle w:val="B1"/>
              <w:spacing w:before="156" w:after="156"/>
            </w:pPr>
            <w:r>
              <w:t>1&gt;</w:t>
            </w:r>
            <w:r>
              <w:tab/>
            </w:r>
            <w:r w:rsidRPr="006C6BDB">
              <w:rPr>
                <w:highlight w:val="green"/>
              </w:rPr>
              <w:t xml:space="preserve">for each </w:t>
            </w:r>
            <w:r w:rsidRPr="006C6BDB">
              <w:rPr>
                <w:i/>
                <w:highlight w:val="green"/>
              </w:rPr>
              <w:t>measId</w:t>
            </w:r>
            <w:r>
              <w:t xml:space="preserve"> included in the </w:t>
            </w:r>
            <w:r>
              <w:rPr>
                <w:i/>
              </w:rPr>
              <w:t>measIdList</w:t>
            </w:r>
            <w:r>
              <w:t xml:space="preserve"> within </w:t>
            </w:r>
            <w:r>
              <w:rPr>
                <w:i/>
              </w:rPr>
              <w:t>VarMeasConfig</w:t>
            </w:r>
            <w:r>
              <w:t>:</w:t>
            </w:r>
          </w:p>
          <w:p w14:paraId="1D9D9D9B" w14:textId="77777777" w:rsidR="000F0A9E" w:rsidRDefault="000F0A9E" w:rsidP="000F0A9E">
            <w:pPr>
              <w:pStyle w:val="B2"/>
              <w:spacing w:before="120" w:after="120"/>
              <w:ind w:firstLine="400"/>
            </w:pPr>
            <w:r>
              <w:t>2&gt;</w:t>
            </w:r>
            <w:r>
              <w:tab/>
              <w:t xml:space="preserve">if the corresponding </w:t>
            </w:r>
            <w:r>
              <w:rPr>
                <w:i/>
              </w:rPr>
              <w:t>reportConfig</w:t>
            </w:r>
            <w:r>
              <w:t xml:space="preserve"> includes a </w:t>
            </w:r>
            <w:r>
              <w:rPr>
                <w:i/>
              </w:rPr>
              <w:t>reportType</w:t>
            </w:r>
            <w:r>
              <w:t xml:space="preserve"> set to </w:t>
            </w:r>
            <w:r>
              <w:rPr>
                <w:i/>
              </w:rPr>
              <w:t>eventTriggered</w:t>
            </w:r>
            <w:r>
              <w:t xml:space="preserve"> or </w:t>
            </w:r>
            <w:r>
              <w:rPr>
                <w:i/>
              </w:rPr>
              <w:t>periodical</w:t>
            </w:r>
            <w:r>
              <w:t>:</w:t>
            </w:r>
          </w:p>
          <w:p w14:paraId="6143E110" w14:textId="417CDA3C" w:rsidR="000F0A9E" w:rsidRPr="000F0A9E" w:rsidRDefault="000F0A9E" w:rsidP="006C6BDB">
            <w:pPr>
              <w:overflowPunct w:val="0"/>
              <w:autoSpaceDE w:val="0"/>
              <w:autoSpaceDN w:val="0"/>
              <w:adjustRightInd w:val="0"/>
              <w:spacing w:beforeLines="0" w:before="120" w:afterLines="0" w:after="120"/>
              <w:jc w:val="left"/>
              <w:rPr>
                <w:rFonts w:eastAsia="MS Gothic"/>
                <w:sz w:val="21"/>
                <w:lang w:eastAsia="ja-JP"/>
              </w:rPr>
            </w:pPr>
            <w:r>
              <w:rPr>
                <w:rFonts w:eastAsia="MS Gothic"/>
                <w:sz w:val="21"/>
                <w:lang w:eastAsia="ja-JP"/>
              </w:rPr>
              <w:t>…</w:t>
            </w:r>
          </w:p>
        </w:tc>
      </w:tr>
    </w:tbl>
    <w:p w14:paraId="5304D801" w14:textId="77777777" w:rsidR="00792A2F" w:rsidRPr="00792A2F" w:rsidRDefault="00792A2F" w:rsidP="00DE084F">
      <w:pPr>
        <w:pStyle w:val="1st-Proposal-YJ"/>
        <w:numPr>
          <w:ilvl w:val="0"/>
          <w:numId w:val="0"/>
        </w:numPr>
        <w:spacing w:before="156" w:after="156"/>
        <w:rPr>
          <w:rFonts w:eastAsia="宋体"/>
        </w:rPr>
      </w:pPr>
      <w:bookmarkStart w:id="8" w:name="_Toc131689035"/>
      <w:r w:rsidRPr="00792A2F">
        <w:rPr>
          <w:rFonts w:eastAsia="宋体"/>
        </w:rPr>
        <w:t>Observation 1: Linking two measurement IDs may disrupt the current structure of report configurations and have a significant impact on the measurement report triggering procedure.</w:t>
      </w:r>
      <w:bookmarkEnd w:id="8"/>
    </w:p>
    <w:p w14:paraId="4580C6AB" w14:textId="3C1E745E" w:rsidR="00792A2F" w:rsidRPr="00DE084F" w:rsidRDefault="00792A2F" w:rsidP="00DE084F">
      <w:pPr>
        <w:pStyle w:val="1st-Proposal-YJ"/>
        <w:numPr>
          <w:ilvl w:val="0"/>
          <w:numId w:val="0"/>
        </w:numPr>
        <w:spacing w:before="156" w:after="156"/>
        <w:rPr>
          <w:rFonts w:eastAsia="宋体"/>
        </w:rPr>
      </w:pPr>
      <w:bookmarkStart w:id="9" w:name="_Toc131689036"/>
      <w:r w:rsidRPr="00DE084F">
        <w:rPr>
          <w:rFonts w:eastAsia="宋体"/>
        </w:rPr>
        <w:t>Proposal 1: To minimize the impact on the current measurement report configuration and triggering structure, consider the following options to combine height-dependent conditions with RSRP/RSRQ/SINR-based conditions:</w:t>
      </w:r>
      <w:bookmarkEnd w:id="9"/>
    </w:p>
    <w:p w14:paraId="0C9917F9" w14:textId="77777777" w:rsidR="00792A2F" w:rsidRPr="00792A2F" w:rsidRDefault="00792A2F" w:rsidP="00DE084F">
      <w:pPr>
        <w:pStyle w:val="1st-Proposal-YJ"/>
        <w:numPr>
          <w:ilvl w:val="0"/>
          <w:numId w:val="36"/>
        </w:numPr>
        <w:spacing w:before="156" w:after="156"/>
        <w:rPr>
          <w:rFonts w:eastAsia="宋体"/>
        </w:rPr>
      </w:pPr>
      <w:bookmarkStart w:id="10" w:name="_Toc131689037"/>
      <w:r w:rsidRPr="00792A2F">
        <w:rPr>
          <w:rFonts w:eastAsia="宋体"/>
        </w:rPr>
        <w:lastRenderedPageBreak/>
        <w:t>Option 1: Link ONE report configuration to TWO measurement events.</w:t>
      </w:r>
      <w:bookmarkEnd w:id="10"/>
    </w:p>
    <w:p w14:paraId="33C474E7" w14:textId="6839696C" w:rsidR="00792A2F" w:rsidRPr="00F01ADE" w:rsidRDefault="00792A2F" w:rsidP="00DE084F">
      <w:pPr>
        <w:pStyle w:val="1st-Proposal-YJ"/>
        <w:numPr>
          <w:ilvl w:val="0"/>
          <w:numId w:val="36"/>
        </w:numPr>
        <w:spacing w:before="156" w:after="156"/>
        <w:rPr>
          <w:rFonts w:eastAsia="宋体"/>
        </w:rPr>
      </w:pPr>
      <w:bookmarkStart w:id="11" w:name="_Toc131689038"/>
      <w:r w:rsidRPr="00792A2F">
        <w:rPr>
          <w:rFonts w:eastAsia="宋体"/>
        </w:rPr>
        <w:t>Option 2: Link ONE measurement ID to TWO report configurations.</w:t>
      </w:r>
      <w:bookmarkEnd w:id="11"/>
    </w:p>
    <w:p w14:paraId="09E95F06" w14:textId="2CC2DB2A" w:rsidR="002076BB" w:rsidRDefault="00EC0DE3" w:rsidP="00EC0DE3">
      <w:pPr>
        <w:spacing w:before="156" w:after="156"/>
      </w:pPr>
      <w:r>
        <w:t xml:space="preserve">UAV UEs have different communications characteristic from normal terrestrial UEs as the radio characteristic will </w:t>
      </w:r>
      <w:r w:rsidRPr="00AB0A11">
        <w:t>vary with altitudes</w:t>
      </w:r>
      <w:r>
        <w:t>. Based on this, height</w:t>
      </w:r>
      <w:r w:rsidR="007A4D7F">
        <w:rPr>
          <w:rStyle w:val="af0"/>
          <w:i w:val="0"/>
        </w:rPr>
        <w:t xml:space="preserve"> </w:t>
      </w:r>
      <w:r w:rsidR="003674C6" w:rsidRPr="00761DA5">
        <w:rPr>
          <w:rStyle w:val="af0"/>
          <w:i w:val="0"/>
        </w:rPr>
        <w:t>depend</w:t>
      </w:r>
      <w:r w:rsidR="003674C6">
        <w:rPr>
          <w:rStyle w:val="af0"/>
          <w:i w:val="0"/>
        </w:rPr>
        <w:t>ent</w:t>
      </w:r>
      <w:r w:rsidR="003674C6" w:rsidDel="003674C6">
        <w:t xml:space="preserve"> </w:t>
      </w:r>
      <w:r w:rsidRPr="009E2564">
        <w:rPr>
          <w:rFonts w:hint="eastAsia"/>
        </w:rPr>
        <w:t>RRM</w:t>
      </w:r>
      <w:r>
        <w:t xml:space="preserve"> </w:t>
      </w:r>
      <w:r w:rsidRPr="009E2564">
        <w:t>measure</w:t>
      </w:r>
      <w:r>
        <w:rPr>
          <w:rFonts w:eastAsiaTheme="minorEastAsia"/>
        </w:rPr>
        <w:t>ment configurations</w:t>
      </w:r>
      <w:r>
        <w:t xml:space="preserve"> for NR UAVs could be considered to </w:t>
      </w:r>
      <w:r>
        <w:rPr>
          <w:rFonts w:eastAsiaTheme="minorEastAsia"/>
        </w:rPr>
        <w:t>achieve f</w:t>
      </w:r>
      <w:r w:rsidRPr="00A63796">
        <w:rPr>
          <w:rFonts w:eastAsiaTheme="minorEastAsia"/>
        </w:rPr>
        <w:t xml:space="preserve">iner </w:t>
      </w:r>
      <w:r>
        <w:rPr>
          <w:rFonts w:eastAsiaTheme="minorEastAsia"/>
        </w:rPr>
        <w:t>control of measurements and reporting behaviors.</w:t>
      </w:r>
      <w:r>
        <w:t xml:space="preserve"> </w:t>
      </w:r>
    </w:p>
    <w:p w14:paraId="0569F2C8" w14:textId="5B562786" w:rsidR="00EC0DE3" w:rsidRDefault="00EC0DE3" w:rsidP="00EC0DE3">
      <w:pPr>
        <w:spacing w:before="156" w:after="156"/>
        <w:rPr>
          <w:rFonts w:eastAsiaTheme="minorEastAsia"/>
        </w:rPr>
      </w:pPr>
      <w:r>
        <w:t>From our perspective, at least following</w:t>
      </w:r>
      <w:r w:rsidR="002076BB">
        <w:t xml:space="preserve"> parameters</w:t>
      </w:r>
      <w:r w:rsidR="008C2C4B">
        <w:t xml:space="preserve"> for </w:t>
      </w:r>
      <w:r w:rsidR="008C2C4B" w:rsidRPr="002076BB">
        <w:t>measurement performing</w:t>
      </w:r>
      <w:r w:rsidR="008C2C4B">
        <w:t xml:space="preserve"> and </w:t>
      </w:r>
      <w:r w:rsidR="008C2C4B" w:rsidRPr="002076BB">
        <w:t>measurement report triggering</w:t>
      </w:r>
      <w:r w:rsidR="002076BB">
        <w:t xml:space="preserve"> could be considered:</w:t>
      </w:r>
    </w:p>
    <w:p w14:paraId="70AF75CD" w14:textId="445AF30F" w:rsidR="007F28D1" w:rsidRDefault="00D75AF3" w:rsidP="00AD5DD2">
      <w:pPr>
        <w:spacing w:before="156" w:after="156"/>
      </w:pPr>
      <w:bookmarkStart w:id="12" w:name="_Toc72163958"/>
      <w:bookmarkStart w:id="13" w:name="_Toc72164083"/>
      <w:bookmarkStart w:id="14" w:name="_Toc72164151"/>
      <w:bookmarkStart w:id="15" w:name="_Toc72164281"/>
      <w:bookmarkStart w:id="16" w:name="_Toc72166021"/>
      <w:bookmarkStart w:id="17" w:name="_Toc72166096"/>
      <w:bookmarkStart w:id="18" w:name="_Toc72166120"/>
      <w:bookmarkStart w:id="19" w:name="_Toc72166132"/>
      <w:bookmarkStart w:id="20" w:name="_Toc72166144"/>
      <w:bookmarkStart w:id="21" w:name="_Toc72166215"/>
      <w:bookmarkStart w:id="22" w:name="_Toc72166223"/>
      <w:bookmarkStart w:id="23" w:name="_Toc72764097"/>
      <w:bookmarkStart w:id="24" w:name="_Toc72764105"/>
      <w:bookmarkStart w:id="25" w:name="_Toc72764113"/>
      <w:bookmarkStart w:id="26" w:name="_Toc72764121"/>
      <w:r w:rsidRPr="00895E65">
        <w:rPr>
          <w:b/>
          <w:bCs/>
          <w:noProof/>
          <w:lang w:eastAsia="en-GB"/>
        </w:rPr>
        <w:t>Excluded Cell List</w:t>
      </w:r>
      <w:r w:rsidR="001B1C2E">
        <w:rPr>
          <w:b/>
        </w:rPr>
        <w:t>:</w:t>
      </w:r>
      <w:r w:rsidR="001B1C2E">
        <w:rPr>
          <w:rFonts w:eastAsiaTheme="minorEastAsia" w:hint="eastAsia"/>
        </w:rPr>
        <w:t xml:space="preserve"> </w:t>
      </w:r>
      <w:r w:rsidR="00EB67D4">
        <w:rPr>
          <w:rFonts w:eastAsia="宋体"/>
        </w:rPr>
        <w:t>I</w:t>
      </w:r>
      <w:r w:rsidR="00EB67D4" w:rsidRPr="001C384F">
        <w:rPr>
          <w:rFonts w:eastAsia="宋体"/>
        </w:rPr>
        <w:t xml:space="preserve">f </w:t>
      </w:r>
      <w:r w:rsidR="00534031">
        <w:rPr>
          <w:rFonts w:eastAsia="宋体"/>
        </w:rPr>
        <w:t>UAV UE</w:t>
      </w:r>
      <w:r w:rsidR="00EB67D4">
        <w:rPr>
          <w:rFonts w:eastAsia="宋体"/>
        </w:rPr>
        <w:t xml:space="preserve"> is required </w:t>
      </w:r>
      <w:r w:rsidR="00EB67D4" w:rsidRPr="001C384F">
        <w:rPr>
          <w:rFonts w:eastAsia="宋体"/>
        </w:rPr>
        <w:t xml:space="preserve">to perform geo-fencing in </w:t>
      </w:r>
      <w:r w:rsidR="007D31E2">
        <w:rPr>
          <w:rFonts w:eastAsia="宋体"/>
        </w:rPr>
        <w:t>airspace</w:t>
      </w:r>
      <w:r w:rsidR="00EB67D4" w:rsidRPr="001C384F">
        <w:rPr>
          <w:rFonts w:eastAsia="宋体"/>
        </w:rPr>
        <w:t xml:space="preserve">, </w:t>
      </w:r>
      <w:r w:rsidR="00C8252D">
        <w:rPr>
          <w:rFonts w:eastAsia="宋体"/>
        </w:rPr>
        <w:t xml:space="preserve">performing </w:t>
      </w:r>
      <w:r w:rsidR="00EB67D4" w:rsidRPr="001C384F">
        <w:rPr>
          <w:rFonts w:eastAsia="宋体"/>
        </w:rPr>
        <w:t xml:space="preserve">measurement </w:t>
      </w:r>
      <w:r w:rsidR="00F10271">
        <w:rPr>
          <w:rFonts w:eastAsia="宋体"/>
        </w:rPr>
        <w:t xml:space="preserve">on </w:t>
      </w:r>
      <w:r w:rsidR="00F10271" w:rsidRPr="001C384F">
        <w:rPr>
          <w:rFonts w:eastAsia="宋体"/>
        </w:rPr>
        <w:t>cells</w:t>
      </w:r>
      <w:r w:rsidR="00F10271">
        <w:rPr>
          <w:rFonts w:eastAsia="宋体"/>
        </w:rPr>
        <w:t xml:space="preserve"> in which flying is not allowed</w:t>
      </w:r>
      <w:r w:rsidR="00F10271" w:rsidRPr="001C384F">
        <w:rPr>
          <w:rFonts w:eastAsia="宋体"/>
        </w:rPr>
        <w:t xml:space="preserve"> </w:t>
      </w:r>
      <w:r w:rsidR="00EB67D4" w:rsidRPr="001C384F">
        <w:rPr>
          <w:rFonts w:eastAsia="宋体"/>
        </w:rPr>
        <w:t>is unnecessary.</w:t>
      </w:r>
      <w:r w:rsidR="00EB67D4">
        <w:rPr>
          <w:rFonts w:eastAsia="宋体"/>
        </w:rPr>
        <w:t xml:space="preserve"> </w:t>
      </w:r>
      <w:r w:rsidR="00F62F00">
        <w:rPr>
          <w:rFonts w:eastAsia="宋体"/>
        </w:rPr>
        <w:t xml:space="preserve">Therefore, </w:t>
      </w:r>
      <w:r w:rsidR="00A726AE">
        <w:rPr>
          <w:rFonts w:eastAsia="宋体"/>
        </w:rPr>
        <w:t>associate</w:t>
      </w:r>
      <w:r w:rsidR="00F62F00">
        <w:rPr>
          <w:rFonts w:eastAsia="宋体"/>
        </w:rPr>
        <w:t xml:space="preserve"> </w:t>
      </w:r>
      <w:r w:rsidR="00FC2D57" w:rsidRPr="00895E65">
        <w:rPr>
          <w:rFonts w:eastAsia="宋体"/>
        </w:rPr>
        <w:t xml:space="preserve">exclude-listed intra-frequency neighboring </w:t>
      </w:r>
      <w:r w:rsidR="00F62F00" w:rsidRPr="00895E65">
        <w:rPr>
          <w:rFonts w:eastAsia="宋体"/>
        </w:rPr>
        <w:t xml:space="preserve">cells </w:t>
      </w:r>
      <w:r w:rsidR="00A726AE" w:rsidRPr="00895E65">
        <w:rPr>
          <w:rFonts w:eastAsia="宋体"/>
        </w:rPr>
        <w:t>to</w:t>
      </w:r>
      <w:r w:rsidR="00F62F00" w:rsidRPr="00895E65">
        <w:rPr>
          <w:rFonts w:eastAsia="宋体"/>
        </w:rPr>
        <w:t xml:space="preserve"> </w:t>
      </w:r>
      <w:r w:rsidR="00A726AE" w:rsidRPr="00895E65">
        <w:rPr>
          <w:rFonts w:eastAsia="宋体"/>
        </w:rPr>
        <w:t xml:space="preserve">flying altitude can limit excessive measurements for </w:t>
      </w:r>
      <w:r w:rsidR="00DD61D3" w:rsidRPr="00895E65">
        <w:rPr>
          <w:rFonts w:eastAsia="宋体"/>
        </w:rPr>
        <w:t xml:space="preserve">UAV </w:t>
      </w:r>
      <w:r w:rsidR="00A726AE" w:rsidRPr="00895E65">
        <w:rPr>
          <w:rFonts w:eastAsia="宋体"/>
        </w:rPr>
        <w:t xml:space="preserve">UE operating at </w:t>
      </w:r>
      <w:r w:rsidR="007302B9" w:rsidRPr="00895E65">
        <w:rPr>
          <w:rFonts w:eastAsia="宋体"/>
        </w:rPr>
        <w:t>the corresponding</w:t>
      </w:r>
      <w:r w:rsidR="00A726AE" w:rsidRPr="00895E65">
        <w:rPr>
          <w:rFonts w:eastAsia="宋体"/>
        </w:rPr>
        <w:t xml:space="preserve"> altitude.</w:t>
      </w:r>
      <w:r w:rsidR="007302B9" w:rsidRPr="00895E65">
        <w:rPr>
          <w:rFonts w:eastAsia="宋体"/>
        </w:rPr>
        <w:t xml:space="preserve"> </w:t>
      </w:r>
      <w:r w:rsidR="007F28D1" w:rsidRPr="00895E65">
        <w:rPr>
          <w:rFonts w:eastAsia="宋体"/>
        </w:rPr>
        <w:t xml:space="preserve">The </w:t>
      </w:r>
      <w:r w:rsidR="00460630" w:rsidRPr="00895E65">
        <w:rPr>
          <w:rFonts w:eastAsia="宋体"/>
        </w:rPr>
        <w:t xml:space="preserve">determination </w:t>
      </w:r>
      <w:r w:rsidR="007F28D1" w:rsidRPr="00895E65">
        <w:rPr>
          <w:rFonts w:eastAsia="宋体"/>
        </w:rPr>
        <w:t xml:space="preserve">of </w:t>
      </w:r>
      <w:r w:rsidR="00FC2D57" w:rsidRPr="00895E65">
        <w:rPr>
          <w:rFonts w:eastAsia="宋体"/>
        </w:rPr>
        <w:t>exclude-listed intra-frequency neighboring cells</w:t>
      </w:r>
      <w:r w:rsidR="007F28D1" w:rsidRPr="00895E65">
        <w:rPr>
          <w:rFonts w:eastAsia="宋体"/>
        </w:rPr>
        <w:t xml:space="preserve"> </w:t>
      </w:r>
      <w:r w:rsidR="00FF41C9" w:rsidRPr="00895E65">
        <w:rPr>
          <w:rFonts w:eastAsia="宋体"/>
        </w:rPr>
        <w:t>may be</w:t>
      </w:r>
      <w:r w:rsidR="007F28D1" w:rsidRPr="00895E65">
        <w:rPr>
          <w:rFonts w:eastAsia="宋体"/>
        </w:rPr>
        <w:t xml:space="preserve"> no-fly zone</w:t>
      </w:r>
      <w:r w:rsidR="00FF41C9" w:rsidRPr="00895E65">
        <w:rPr>
          <w:rFonts w:eastAsia="宋体"/>
        </w:rPr>
        <w:t xml:space="preserve"> </w:t>
      </w:r>
      <w:r w:rsidR="007F28D1" w:rsidRPr="00895E65">
        <w:rPr>
          <w:rFonts w:eastAsia="宋体"/>
        </w:rPr>
        <w:t xml:space="preserve">according to local fight policies and regulations, </w:t>
      </w:r>
      <w:r w:rsidR="00623839" w:rsidRPr="00895E65">
        <w:rPr>
          <w:rFonts w:eastAsia="宋体"/>
        </w:rPr>
        <w:t>i.e</w:t>
      </w:r>
      <w:r w:rsidR="007F28D1" w:rsidRPr="00895E65">
        <w:rPr>
          <w:rFonts w:eastAsia="宋体"/>
        </w:rPr>
        <w:t>., FAA regulations.</w:t>
      </w:r>
      <w:r w:rsidR="00A91EAE" w:rsidRPr="00895E65">
        <w:rPr>
          <w:rFonts w:eastAsia="宋体"/>
        </w:rPr>
        <w:t xml:space="preserve"> </w:t>
      </w:r>
    </w:p>
    <w:p w14:paraId="4AA4AFE5" w14:textId="6875CCE1" w:rsidR="00B23DB1" w:rsidRPr="00895E65" w:rsidRDefault="0012179E" w:rsidP="004B6BB7">
      <w:pPr>
        <w:spacing w:before="156" w:after="156"/>
        <w:rPr>
          <w:rFonts w:eastAsia="宋体"/>
        </w:rPr>
      </w:pPr>
      <w:r w:rsidRPr="0012179E">
        <w:rPr>
          <w:b/>
        </w:rPr>
        <w:t>Allowed cell list</w:t>
      </w:r>
      <w:r w:rsidR="001B1C2E" w:rsidRPr="001B1C2E">
        <w:rPr>
          <w:b/>
        </w:rPr>
        <w:t>:</w:t>
      </w:r>
      <w:r w:rsidR="001B1C2E">
        <w:t xml:space="preserve"> </w:t>
      </w:r>
      <w:r w:rsidR="00923247" w:rsidRPr="00895E65">
        <w:rPr>
          <w:rFonts w:eastAsia="宋体"/>
        </w:rPr>
        <w:t>S</w:t>
      </w:r>
      <w:r w:rsidR="007F28D1" w:rsidRPr="00895E65">
        <w:rPr>
          <w:rFonts w:eastAsia="宋体"/>
        </w:rPr>
        <w:t xml:space="preserve">ince </w:t>
      </w:r>
      <w:r w:rsidR="0041565F" w:rsidRPr="00895E65">
        <w:rPr>
          <w:rFonts w:eastAsia="宋体"/>
        </w:rPr>
        <w:t xml:space="preserve">UAVs may fly along </w:t>
      </w:r>
      <w:r w:rsidR="00460630" w:rsidRPr="00895E65">
        <w:rPr>
          <w:rFonts w:eastAsia="宋体"/>
        </w:rPr>
        <w:t xml:space="preserve">intended </w:t>
      </w:r>
      <w:r w:rsidR="0041565F" w:rsidRPr="00895E65">
        <w:rPr>
          <w:rFonts w:eastAsia="宋体"/>
        </w:rPr>
        <w:t xml:space="preserve">path, </w:t>
      </w:r>
      <w:r w:rsidR="00E2268A" w:rsidRPr="00895E65">
        <w:rPr>
          <w:rFonts w:eastAsia="宋体"/>
        </w:rPr>
        <w:t xml:space="preserve">allow-listed intra-frequency neighboring </w:t>
      </w:r>
      <w:r w:rsidR="0041565F" w:rsidRPr="00895E65">
        <w:rPr>
          <w:rFonts w:eastAsia="宋体"/>
        </w:rPr>
        <w:t>cells can also be configured</w:t>
      </w:r>
      <w:r w:rsidR="003C6159" w:rsidRPr="00895E65">
        <w:rPr>
          <w:rFonts w:eastAsia="宋体"/>
        </w:rPr>
        <w:t xml:space="preserve"> associate to flying altitude. In this way, UAV UEs only need to perform measurements on those cells located in fight allowed zone or </w:t>
      </w:r>
      <w:r w:rsidR="00F34DA2" w:rsidRPr="00895E65">
        <w:rPr>
          <w:rFonts w:eastAsia="宋体"/>
        </w:rPr>
        <w:t>along</w:t>
      </w:r>
      <w:r w:rsidR="003C6159" w:rsidRPr="00895E65">
        <w:rPr>
          <w:rFonts w:eastAsia="宋体"/>
        </w:rPr>
        <w:t xml:space="preserve"> </w:t>
      </w:r>
      <w:r w:rsidR="00F34DA2" w:rsidRPr="00895E65">
        <w:rPr>
          <w:rFonts w:eastAsia="宋体"/>
        </w:rPr>
        <w:t xml:space="preserve">intended </w:t>
      </w:r>
      <w:r w:rsidR="003C6159" w:rsidRPr="00895E65">
        <w:rPr>
          <w:rFonts w:eastAsia="宋体"/>
        </w:rPr>
        <w:t>flight path</w:t>
      </w:r>
      <w:r w:rsidR="001B1C2E" w:rsidRPr="00895E65">
        <w:rPr>
          <w:rFonts w:eastAsia="宋体"/>
        </w:rPr>
        <w:t xml:space="preserve">. </w:t>
      </w:r>
    </w:p>
    <w:p w14:paraId="41D4CD90" w14:textId="4035EC84" w:rsidR="00EB67D4" w:rsidRDefault="005C4A10" w:rsidP="004B6BB7">
      <w:pPr>
        <w:spacing w:before="156" w:after="156"/>
      </w:pPr>
      <w:r w:rsidRPr="00895E65">
        <w:t xml:space="preserve">By associating flying </w:t>
      </w:r>
      <w:r>
        <w:t xml:space="preserve">altitude to </w:t>
      </w:r>
      <w:r w:rsidR="002F5DBC">
        <w:t>exclude-listed</w:t>
      </w:r>
      <w:r w:rsidRPr="00E94F53">
        <w:t xml:space="preserve"> cells</w:t>
      </w:r>
      <w:r w:rsidR="00FD39E0">
        <w:t xml:space="preserve"> </w:t>
      </w:r>
      <w:r w:rsidR="001B1C2E">
        <w:t>or</w:t>
      </w:r>
      <w:r w:rsidR="00FD39E0" w:rsidRPr="00FD39E0">
        <w:t xml:space="preserve"> </w:t>
      </w:r>
      <w:r w:rsidR="002F5DBC" w:rsidRPr="00895E65">
        <w:t>allow-listed</w:t>
      </w:r>
      <w:r w:rsidR="00FD39E0" w:rsidRPr="00FD39E0">
        <w:t xml:space="preserve"> cells</w:t>
      </w:r>
      <w:r>
        <w:t xml:space="preserve">, UE can first determine the UE’s </w:t>
      </w:r>
      <w:r w:rsidRPr="00895E65">
        <w:t xml:space="preserve">flying </w:t>
      </w:r>
      <w:r>
        <w:t xml:space="preserve">altitude </w:t>
      </w:r>
      <w:r w:rsidR="00E32821">
        <w:t xml:space="preserve">(or flying status) and then apply </w:t>
      </w:r>
      <w:r>
        <w:t>corresponding</w:t>
      </w:r>
      <w:r w:rsidR="00E32821">
        <w:t xml:space="preserve"> configurations of</w:t>
      </w:r>
      <w:r>
        <w:t xml:space="preserve"> </w:t>
      </w:r>
      <w:r w:rsidR="003015B1">
        <w:t>e</w:t>
      </w:r>
      <w:r w:rsidR="003015B1" w:rsidRPr="00895E65">
        <w:t xml:space="preserve">xcluded </w:t>
      </w:r>
      <w:r>
        <w:t xml:space="preserve">cell list or </w:t>
      </w:r>
      <w:r w:rsidR="003015B1" w:rsidRPr="00895E65">
        <w:t xml:space="preserve">allowed </w:t>
      </w:r>
      <w:r>
        <w:t>cell list.</w:t>
      </w:r>
      <w:r w:rsidR="00FD39E0">
        <w:t xml:space="preserve"> </w:t>
      </w:r>
    </w:p>
    <w:p w14:paraId="53B00512" w14:textId="3A8EDF34" w:rsidR="00B23DB1" w:rsidRDefault="00B23DB1" w:rsidP="00B23DB1">
      <w:pPr>
        <w:spacing w:before="156" w:after="156"/>
        <w:rPr>
          <w:rFonts w:eastAsiaTheme="minorEastAsia"/>
          <w:bCs/>
        </w:rPr>
      </w:pPr>
      <w:r>
        <w:rPr>
          <w:rFonts w:eastAsiaTheme="minorEastAsia"/>
          <w:b/>
        </w:rPr>
        <w:t xml:space="preserve">Quality </w:t>
      </w:r>
      <w:r w:rsidRPr="00E33FF3">
        <w:rPr>
          <w:rFonts w:eastAsiaTheme="minorEastAsia"/>
          <w:b/>
        </w:rPr>
        <w:t>event triggering threshold:</w:t>
      </w:r>
      <w:r>
        <w:rPr>
          <w:rFonts w:eastAsiaTheme="minorEastAsia"/>
        </w:rPr>
        <w:t xml:space="preserve"> </w:t>
      </w:r>
      <w:r w:rsidR="000B6E18">
        <w:rPr>
          <w:rFonts w:eastAsiaTheme="minorEastAsia"/>
          <w:lang w:val="en-GB"/>
        </w:rPr>
        <w:t>C</w:t>
      </w:r>
      <w:r w:rsidRPr="00776337">
        <w:rPr>
          <w:rFonts w:eastAsiaTheme="minorEastAsia"/>
          <w:lang w:val="en-GB"/>
        </w:rPr>
        <w:t xml:space="preserve">onsider the offset for </w:t>
      </w:r>
      <w:r w:rsidR="000B6E18">
        <w:rPr>
          <w:rFonts w:eastAsiaTheme="minorEastAsia"/>
          <w:lang w:val="en-GB"/>
        </w:rPr>
        <w:t>quality</w:t>
      </w:r>
      <w:r w:rsidRPr="00776337">
        <w:rPr>
          <w:rFonts w:eastAsiaTheme="minorEastAsia"/>
          <w:lang w:val="en-GB"/>
        </w:rPr>
        <w:t xml:space="preserve"> event</w:t>
      </w:r>
      <w:r w:rsidR="00F73F76">
        <w:rPr>
          <w:rFonts w:eastAsiaTheme="minorEastAsia"/>
          <w:lang w:val="en-GB"/>
        </w:rPr>
        <w:t xml:space="preserve"> triggering</w:t>
      </w:r>
      <w:r w:rsidRPr="00776337">
        <w:rPr>
          <w:rFonts w:eastAsiaTheme="minorEastAsia"/>
          <w:lang w:val="en-GB"/>
        </w:rPr>
        <w:t xml:space="preserve"> according to the height of the </w:t>
      </w:r>
      <w:r>
        <w:rPr>
          <w:rFonts w:eastAsiaTheme="minorEastAsia"/>
          <w:lang w:val="en-GB"/>
        </w:rPr>
        <w:t>UAV</w:t>
      </w:r>
      <w:r w:rsidRPr="00776337">
        <w:rPr>
          <w:rFonts w:eastAsiaTheme="minorEastAsia"/>
          <w:lang w:val="en-GB"/>
        </w:rPr>
        <w:t xml:space="preserve"> </w:t>
      </w:r>
      <w:r w:rsidRPr="00C2053C">
        <w:rPr>
          <w:rFonts w:eastAsiaTheme="minorEastAsia"/>
          <w:lang w:val="en-GB"/>
        </w:rPr>
        <w:t>UE</w:t>
      </w:r>
      <w:r w:rsidR="00FC0DB4">
        <w:rPr>
          <w:rFonts w:eastAsiaTheme="minorEastAsia"/>
          <w:lang w:val="en-GB"/>
        </w:rPr>
        <w:t xml:space="preserve">. For example, for event A4, </w:t>
      </w:r>
      <w:r w:rsidR="00AE774C">
        <w:rPr>
          <w:rFonts w:eastAsiaTheme="minorEastAsia"/>
          <w:lang w:val="en-GB"/>
        </w:rPr>
        <w:t>upon</w:t>
      </w:r>
      <w:r w:rsidR="00FC0DB4">
        <w:rPr>
          <w:rFonts w:eastAsiaTheme="minorEastAsia"/>
          <w:lang w:val="en-GB"/>
        </w:rPr>
        <w:t xml:space="preserve"> </w:t>
      </w:r>
      <w:r w:rsidR="00AE774C">
        <w:rPr>
          <w:rFonts w:eastAsiaTheme="minorEastAsia"/>
          <w:lang w:val="en-GB"/>
        </w:rPr>
        <w:t xml:space="preserve">measurement </w:t>
      </w:r>
      <w:r w:rsidR="00FC0DB4">
        <w:rPr>
          <w:rFonts w:eastAsiaTheme="minorEastAsia"/>
          <w:lang w:val="en-GB"/>
        </w:rPr>
        <w:t>reporting</w:t>
      </w:r>
      <w:r w:rsidR="00AE774C">
        <w:rPr>
          <w:rFonts w:eastAsiaTheme="minorEastAsia"/>
          <w:lang w:val="en-GB"/>
        </w:rPr>
        <w:t xml:space="preserve"> triggered by</w:t>
      </w:r>
      <w:r w:rsidR="00FC0DB4">
        <w:rPr>
          <w:rFonts w:eastAsiaTheme="minorEastAsia"/>
          <w:lang w:val="en-GB"/>
        </w:rPr>
        <w:t xml:space="preserve"> </w:t>
      </w:r>
      <w:r w:rsidR="00AE774C">
        <w:rPr>
          <w:rFonts w:eastAsiaTheme="minorEastAsia"/>
          <w:lang w:val="en-GB"/>
        </w:rPr>
        <w:t>height</w:t>
      </w:r>
      <w:r w:rsidR="00FC0DB4">
        <w:rPr>
          <w:rFonts w:eastAsiaTheme="minorEastAsia"/>
          <w:lang w:val="en-GB"/>
        </w:rPr>
        <w:t xml:space="preserve"> event</w:t>
      </w:r>
      <w:r w:rsidR="003F0516">
        <w:rPr>
          <w:rFonts w:eastAsiaTheme="minorEastAsia"/>
          <w:lang w:val="en-GB"/>
        </w:rPr>
        <w:t xml:space="preserve"> H1</w:t>
      </w:r>
      <w:r w:rsidR="00FC0DB4">
        <w:rPr>
          <w:rFonts w:eastAsiaTheme="minorEastAsia"/>
          <w:lang w:val="en-GB"/>
        </w:rPr>
        <w:t xml:space="preserve">, the triggering threshold of event A4 </w:t>
      </w:r>
      <w:r w:rsidR="00AE774C">
        <w:rPr>
          <w:rFonts w:eastAsiaTheme="minorEastAsia"/>
          <w:lang w:val="en-GB"/>
        </w:rPr>
        <w:t>can</w:t>
      </w:r>
      <w:r w:rsidR="00FC0DB4">
        <w:rPr>
          <w:rFonts w:eastAsiaTheme="minorEastAsia"/>
          <w:lang w:val="en-GB"/>
        </w:rPr>
        <w:t xml:space="preserve"> be adjusted by a</w:t>
      </w:r>
      <w:r w:rsidR="00AE774C">
        <w:rPr>
          <w:rFonts w:eastAsiaTheme="minorEastAsia"/>
          <w:lang w:val="en-GB"/>
        </w:rPr>
        <w:t xml:space="preserve">n </w:t>
      </w:r>
      <w:r w:rsidR="00FC0DB4">
        <w:rPr>
          <w:rFonts w:eastAsiaTheme="minorEastAsia"/>
          <w:lang w:val="en-GB"/>
        </w:rPr>
        <w:t>offset</w:t>
      </w:r>
      <w:r w:rsidR="00AE774C">
        <w:rPr>
          <w:rFonts w:eastAsiaTheme="minorEastAsia"/>
          <w:lang w:val="en-GB"/>
        </w:rPr>
        <w:t xml:space="preserve"> corresponding to the triggered height event. </w:t>
      </w:r>
      <w:r w:rsidR="00493093">
        <w:rPr>
          <w:rFonts w:eastAsiaTheme="minorEastAsia"/>
          <w:lang w:val="en-GB"/>
        </w:rPr>
        <w:t>In this way</w:t>
      </w:r>
      <w:r w:rsidR="00AE774C">
        <w:rPr>
          <w:rFonts w:eastAsiaTheme="minorEastAsia"/>
          <w:lang w:val="en-GB"/>
        </w:rPr>
        <w:t>,</w:t>
      </w:r>
      <w:r w:rsidR="00493093">
        <w:rPr>
          <w:rFonts w:eastAsiaTheme="minorEastAsia"/>
          <w:lang w:val="en-GB"/>
        </w:rPr>
        <w:t xml:space="preserve"> only better neighbour cells which fulfilled the adjusted triggering threshold will trigger the entering of event A4, which can improve frequent measurement report triggering due to seeing more cell at high altitude.</w:t>
      </w:r>
    </w:p>
    <w:p w14:paraId="1FB7C8F4" w14:textId="1AEFE691" w:rsidR="000A3782" w:rsidRDefault="00AD5DD2" w:rsidP="00AD5DD2">
      <w:pPr>
        <w:spacing w:before="156" w:after="156"/>
        <w:rPr>
          <w:bCs/>
        </w:rPr>
      </w:pPr>
      <w:r w:rsidRPr="001B1C2E">
        <w:rPr>
          <w:b/>
        </w:rPr>
        <w:t>NumberOfTriggeringCells</w:t>
      </w:r>
      <w:r w:rsidR="001B1C2E" w:rsidRPr="001B1C2E">
        <w:rPr>
          <w:rFonts w:eastAsiaTheme="minorEastAsia" w:hint="eastAsia"/>
          <w:b/>
        </w:rPr>
        <w:t>:</w:t>
      </w:r>
      <w:r w:rsidR="001B1C2E">
        <w:rPr>
          <w:rFonts w:eastAsiaTheme="minorEastAsia"/>
        </w:rPr>
        <w:t xml:space="preserve"> </w:t>
      </w:r>
      <w:r w:rsidR="000F2FF2" w:rsidRPr="00C458D2">
        <w:rPr>
          <w:bCs/>
          <w:i/>
        </w:rPr>
        <w:t>numberOfTriggeringCells</w:t>
      </w:r>
      <w:r w:rsidR="000F2FF2" w:rsidRPr="00C458D2">
        <w:rPr>
          <w:bCs/>
        </w:rPr>
        <w:t xml:space="preserve"> indicates the number of cells detected that are required to fulfill an event for a measurement report to be triggered. </w:t>
      </w:r>
      <w:r w:rsidR="003C661B">
        <w:rPr>
          <w:bCs/>
        </w:rPr>
        <w:t>Associate th</w:t>
      </w:r>
      <w:r w:rsidR="00522AF6">
        <w:rPr>
          <w:bCs/>
        </w:rPr>
        <w:t>is</w:t>
      </w:r>
      <w:r w:rsidR="003C661B">
        <w:rPr>
          <w:bCs/>
        </w:rPr>
        <w:t xml:space="preserve"> configuration to the flying altitude can achieve more flexible control of the amount of the measurement report</w:t>
      </w:r>
      <w:r w:rsidR="00F91900">
        <w:rPr>
          <w:bCs/>
        </w:rPr>
        <w:t>ing</w:t>
      </w:r>
      <w:r w:rsidR="003C661B">
        <w:rPr>
          <w:bCs/>
        </w:rPr>
        <w:t>.</w:t>
      </w:r>
      <w:r w:rsidR="00A91EAE">
        <w:rPr>
          <w:bCs/>
        </w:rPr>
        <w:t xml:space="preserve"> </w:t>
      </w:r>
    </w:p>
    <w:p w14:paraId="3579FA1A" w14:textId="77777777" w:rsidR="002F604F" w:rsidRPr="002F604F" w:rsidRDefault="0067410B" w:rsidP="002F604F">
      <w:pPr>
        <w:pStyle w:val="1st-Proposal-YJ"/>
        <w:spacing w:before="156" w:after="156"/>
      </w:pPr>
      <w:bookmarkStart w:id="27" w:name="_Toc110349714"/>
      <w:bookmarkStart w:id="28" w:name="_Toc110349727"/>
      <w:bookmarkStart w:id="29" w:name="_Toc110349739"/>
      <w:bookmarkStart w:id="30" w:name="_Toc110349747"/>
      <w:bookmarkStart w:id="31" w:name="_Toc110349755"/>
      <w:bookmarkStart w:id="32" w:name="_Toc110349763"/>
      <w:bookmarkStart w:id="33" w:name="_Toc110349771"/>
      <w:bookmarkStart w:id="34" w:name="_Toc110349784"/>
      <w:bookmarkStart w:id="35" w:name="_Toc110349792"/>
      <w:bookmarkStart w:id="36" w:name="_Toc110349817"/>
      <w:bookmarkStart w:id="37" w:name="_Toc110349825"/>
      <w:bookmarkStart w:id="38" w:name="_Toc110349715"/>
      <w:bookmarkStart w:id="39" w:name="_Toc110349728"/>
      <w:bookmarkStart w:id="40" w:name="_Toc110349740"/>
      <w:bookmarkStart w:id="41" w:name="_Toc110349748"/>
      <w:bookmarkStart w:id="42" w:name="_Toc110349756"/>
      <w:bookmarkStart w:id="43" w:name="_Toc110349764"/>
      <w:bookmarkStart w:id="44" w:name="_Toc110349772"/>
      <w:bookmarkStart w:id="45" w:name="_Toc110349785"/>
      <w:bookmarkStart w:id="46" w:name="_Toc110349793"/>
      <w:bookmarkStart w:id="47" w:name="_Toc110349818"/>
      <w:bookmarkStart w:id="48" w:name="_Toc110349826"/>
      <w:bookmarkStart w:id="49" w:name="_Toc114676725"/>
      <w:bookmarkStart w:id="50" w:name="_Toc114840118"/>
      <w:bookmarkStart w:id="51" w:name="_Toc114840130"/>
      <w:bookmarkStart w:id="52" w:name="_Toc114840142"/>
      <w:bookmarkStart w:id="53" w:name="_Toc114840337"/>
      <w:bookmarkStart w:id="54" w:name="_Toc114840348"/>
      <w:bookmarkStart w:id="55" w:name="_Toc114843952"/>
      <w:bookmarkStart w:id="56" w:name="_Toc126832488"/>
      <w:bookmarkStart w:id="57" w:name="_Toc126832550"/>
      <w:bookmarkStart w:id="58" w:name="_Toc126939731"/>
      <w:bookmarkStart w:id="59" w:name="_Toc126940818"/>
      <w:bookmarkStart w:id="60" w:name="_Toc127456270"/>
      <w:bookmarkStart w:id="61" w:name="_Toc131064288"/>
      <w:bookmarkStart w:id="62" w:name="_Toc131435758"/>
      <w:bookmarkStart w:id="63" w:name="_Toc131520773"/>
      <w:bookmarkStart w:id="64" w:name="_Toc114864247"/>
      <w:bookmarkStart w:id="65" w:name="_Toc114864258"/>
      <w:bookmarkStart w:id="66" w:name="_Toc114936556"/>
      <w:bookmarkStart w:id="67" w:name="_Toc114936567"/>
      <w:bookmarkStart w:id="68" w:name="_Toc114936578"/>
      <w:bookmarkStart w:id="69" w:name="_Toc114936589"/>
      <w:bookmarkStart w:id="70" w:name="_Toc114936600"/>
      <w:bookmarkStart w:id="71" w:name="_Toc114936611"/>
      <w:bookmarkStart w:id="72" w:name="_Toc114936622"/>
      <w:bookmarkStart w:id="73" w:name="_Toc114936633"/>
      <w:bookmarkStart w:id="74" w:name="_Toc115273355"/>
      <w:bookmarkStart w:id="75" w:name="_Toc115273367"/>
      <w:bookmarkStart w:id="76" w:name="_Toc115273379"/>
      <w:bookmarkStart w:id="77" w:name="_Toc115273448"/>
      <w:bookmarkStart w:id="78" w:name="_Toc115273460"/>
      <w:bookmarkStart w:id="79" w:name="_Toc115273472"/>
      <w:bookmarkStart w:id="80" w:name="_Toc115273484"/>
      <w:bookmarkStart w:id="81" w:name="_Toc115273496"/>
      <w:bookmarkStart w:id="82" w:name="_Toc115340579"/>
      <w:bookmarkStart w:id="83" w:name="_Toc115340591"/>
      <w:bookmarkStart w:id="84" w:name="_Toc115354612"/>
      <w:bookmarkStart w:id="85" w:name="_Toc115354624"/>
      <w:bookmarkStart w:id="86" w:name="_Toc115358465"/>
      <w:bookmarkStart w:id="87" w:name="_Toc115358477"/>
      <w:bookmarkStart w:id="88" w:name="_Toc115358489"/>
      <w:bookmarkStart w:id="89" w:name="_Toc115358501"/>
      <w:bookmarkStart w:id="90" w:name="_Toc115358537"/>
      <w:bookmarkStart w:id="91" w:name="_Toc115358549"/>
      <w:bookmarkStart w:id="92" w:name="_Toc115358620"/>
      <w:bookmarkStart w:id="93" w:name="_Toc115358632"/>
      <w:bookmarkStart w:id="94" w:name="_Toc117874964"/>
      <w:bookmarkStart w:id="95" w:name="_Toc117875149"/>
      <w:bookmarkStart w:id="96" w:name="_Toc117875164"/>
      <w:bookmarkStart w:id="97" w:name="_Toc117875179"/>
      <w:bookmarkStart w:id="98" w:name="_Toc117875194"/>
      <w:bookmarkStart w:id="99" w:name="_Toc117875209"/>
      <w:bookmarkStart w:id="100" w:name="_Toc117875224"/>
      <w:bookmarkStart w:id="101" w:name="_Toc117875239"/>
      <w:bookmarkStart w:id="102" w:name="_Toc117875254"/>
      <w:bookmarkStart w:id="103" w:name="_Toc117875269"/>
      <w:bookmarkStart w:id="104" w:name="_Toc118104520"/>
      <w:bookmarkStart w:id="105" w:name="_Toc118220605"/>
      <w:bookmarkStart w:id="106" w:name="_Toc118293744"/>
      <w:bookmarkStart w:id="107" w:name="_Toc118389051"/>
      <w:bookmarkStart w:id="108" w:name="_Toc118454158"/>
      <w:bookmarkStart w:id="109" w:name="_Toc126830711"/>
      <w:bookmarkStart w:id="110" w:name="_Toc131689039"/>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r>
        <w:t xml:space="preserve">RAN2 to </w:t>
      </w:r>
      <w:bookmarkEnd w:id="49"/>
      <w:bookmarkEnd w:id="50"/>
      <w:bookmarkEnd w:id="51"/>
      <w:bookmarkEnd w:id="52"/>
      <w:bookmarkEnd w:id="53"/>
      <w:bookmarkEnd w:id="54"/>
      <w:bookmarkEnd w:id="55"/>
      <w:r w:rsidR="009D50C4">
        <w:t>consider</w:t>
      </w:r>
      <w:r w:rsidR="002F604F">
        <w:t xml:space="preserve"> following</w:t>
      </w:r>
      <w:r w:rsidR="009D50C4">
        <w:t xml:space="preserve"> height-dependent</w:t>
      </w:r>
      <w:r w:rsidR="003834D2">
        <w:t xml:space="preserve"> </w:t>
      </w:r>
      <w:r w:rsidR="00B5583A">
        <w:t>configurations</w:t>
      </w:r>
      <w:r w:rsidR="002076BB">
        <w:t xml:space="preserve"> for</w:t>
      </w:r>
      <w:r w:rsidR="002F604F" w:rsidRPr="002F604F">
        <w:t xml:space="preserve"> </w:t>
      </w:r>
      <w:r w:rsidR="002F604F" w:rsidRPr="002076BB">
        <w:t>measurement performing</w:t>
      </w:r>
      <w:r w:rsidR="002F604F">
        <w:t xml:space="preserve"> and</w:t>
      </w:r>
      <w:r w:rsidR="002076BB">
        <w:t xml:space="preserve"> </w:t>
      </w:r>
      <w:r w:rsidR="002076BB" w:rsidRPr="002076BB">
        <w:t>measurement report triggering</w:t>
      </w:r>
      <w:r w:rsidR="002F604F">
        <w:t>:</w:t>
      </w:r>
      <w:bookmarkEnd w:id="56"/>
      <w:bookmarkEnd w:id="57"/>
      <w:bookmarkEnd w:id="58"/>
      <w:bookmarkEnd w:id="59"/>
      <w:bookmarkEnd w:id="60"/>
      <w:bookmarkEnd w:id="61"/>
      <w:bookmarkEnd w:id="62"/>
      <w:bookmarkEnd w:id="63"/>
      <w:bookmarkEnd w:id="110"/>
    </w:p>
    <w:p w14:paraId="3734C7CC" w14:textId="76867844" w:rsidR="002F604F" w:rsidRDefault="002F604F" w:rsidP="004252F9">
      <w:pPr>
        <w:pStyle w:val="1st-Proposal-YJ"/>
        <w:numPr>
          <w:ilvl w:val="0"/>
          <w:numId w:val="33"/>
        </w:numPr>
        <w:spacing w:before="156" w:after="156"/>
      </w:pPr>
      <w:bookmarkStart w:id="111" w:name="_Toc126832489"/>
      <w:bookmarkStart w:id="112" w:name="_Toc126832551"/>
      <w:bookmarkStart w:id="113" w:name="_Toc126939732"/>
      <w:bookmarkStart w:id="114" w:name="_Toc126940819"/>
      <w:bookmarkStart w:id="115" w:name="_Toc127456271"/>
      <w:bookmarkStart w:id="116" w:name="_Toc131064289"/>
      <w:bookmarkStart w:id="117" w:name="_Toc131435759"/>
      <w:bookmarkStart w:id="118" w:name="_Toc131520774"/>
      <w:bookmarkStart w:id="119" w:name="_Toc131689040"/>
      <w:r>
        <w:t>Ex</w:t>
      </w:r>
      <w:r w:rsidRPr="0020035C">
        <w:t>clude-listed</w:t>
      </w:r>
      <w:r w:rsidRPr="0020035C" w:rsidDel="0020035C">
        <w:t xml:space="preserve"> </w:t>
      </w:r>
      <w:r>
        <w:t>cells and</w:t>
      </w:r>
      <w:r w:rsidRPr="003834D2">
        <w:t xml:space="preserve"> </w:t>
      </w:r>
      <w:r w:rsidRPr="00CA545F">
        <w:rPr>
          <w:rFonts w:cstheme="minorBidi"/>
        </w:rPr>
        <w:t>allow-listed</w:t>
      </w:r>
      <w:r w:rsidRPr="001B1C2E" w:rsidDel="00D844F3">
        <w:t xml:space="preserve"> </w:t>
      </w:r>
      <w:r w:rsidRPr="001B1C2E">
        <w:t>cells</w:t>
      </w:r>
      <w:bookmarkEnd w:id="111"/>
      <w:bookmarkEnd w:id="112"/>
      <w:bookmarkEnd w:id="113"/>
      <w:bookmarkEnd w:id="114"/>
      <w:bookmarkEnd w:id="115"/>
      <w:bookmarkEnd w:id="116"/>
      <w:bookmarkEnd w:id="117"/>
      <w:bookmarkEnd w:id="118"/>
      <w:bookmarkEnd w:id="119"/>
    </w:p>
    <w:p w14:paraId="1FB45E13" w14:textId="2F83A09F" w:rsidR="002F604F" w:rsidRDefault="002076BB" w:rsidP="004252F9">
      <w:pPr>
        <w:pStyle w:val="1st-Proposal-YJ"/>
        <w:numPr>
          <w:ilvl w:val="0"/>
          <w:numId w:val="33"/>
        </w:numPr>
        <w:spacing w:before="156" w:after="156"/>
      </w:pPr>
      <w:bookmarkStart w:id="120" w:name="_Toc126832490"/>
      <w:bookmarkStart w:id="121" w:name="_Toc126832552"/>
      <w:bookmarkStart w:id="122" w:name="_Toc126939733"/>
      <w:bookmarkStart w:id="123" w:name="_Toc126940820"/>
      <w:bookmarkStart w:id="124" w:name="_Toc127456272"/>
      <w:bookmarkStart w:id="125" w:name="_Toc131064290"/>
      <w:bookmarkStart w:id="126" w:name="_Toc131435760"/>
      <w:bookmarkStart w:id="127" w:name="_Toc131520775"/>
      <w:bookmarkStart w:id="128" w:name="_Toc131689041"/>
      <w:r>
        <w:t>A3/A4/A5</w:t>
      </w:r>
      <w:r w:rsidR="002E25AC">
        <w:t xml:space="preserve"> </w:t>
      </w:r>
      <w:r w:rsidR="00FD556B">
        <w:t>triggering threshold</w:t>
      </w:r>
      <w:bookmarkEnd w:id="120"/>
      <w:bookmarkEnd w:id="121"/>
      <w:bookmarkEnd w:id="122"/>
      <w:bookmarkEnd w:id="123"/>
      <w:bookmarkEnd w:id="124"/>
      <w:bookmarkEnd w:id="125"/>
      <w:bookmarkEnd w:id="126"/>
      <w:bookmarkEnd w:id="127"/>
      <w:bookmarkEnd w:id="128"/>
      <w:r w:rsidR="004F16D7">
        <w:t xml:space="preserve"> </w:t>
      </w:r>
    </w:p>
    <w:p w14:paraId="041A5802" w14:textId="7DC01A3E" w:rsidR="002F604F" w:rsidRDefault="004F16D7" w:rsidP="004252F9">
      <w:pPr>
        <w:pStyle w:val="1st-Proposal-YJ"/>
        <w:numPr>
          <w:ilvl w:val="0"/>
          <w:numId w:val="33"/>
        </w:numPr>
        <w:spacing w:before="156" w:after="156"/>
      </w:pPr>
      <w:bookmarkStart w:id="129" w:name="_Toc126832491"/>
      <w:bookmarkStart w:id="130" w:name="_Toc126832553"/>
      <w:bookmarkStart w:id="131" w:name="_Toc126939734"/>
      <w:bookmarkStart w:id="132" w:name="_Toc126940821"/>
      <w:bookmarkStart w:id="133" w:name="_Toc127456273"/>
      <w:bookmarkStart w:id="134" w:name="_Toc131064291"/>
      <w:bookmarkStart w:id="135" w:name="_Toc131435761"/>
      <w:bookmarkStart w:id="136" w:name="_Toc131520776"/>
      <w:bookmarkStart w:id="137" w:name="_Toc131689042"/>
      <w:r w:rsidRPr="004F16D7">
        <w:t>NumberOfTriggeringCells</w:t>
      </w:r>
      <w:r w:rsidR="00582CCF">
        <w:t>.</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29"/>
      <w:bookmarkEnd w:id="130"/>
      <w:bookmarkEnd w:id="131"/>
      <w:bookmarkEnd w:id="132"/>
      <w:bookmarkEnd w:id="133"/>
      <w:bookmarkEnd w:id="134"/>
      <w:bookmarkEnd w:id="135"/>
      <w:bookmarkEnd w:id="136"/>
      <w:bookmarkEnd w:id="137"/>
    </w:p>
    <w:p w14:paraId="09634745" w14:textId="5E085935" w:rsidR="003674C6" w:rsidRDefault="0047305C" w:rsidP="0047305C">
      <w:pPr>
        <w:spacing w:before="156" w:after="156"/>
      </w:pPr>
      <w:r>
        <w:t>After receiving multiple measurement configurations from the netw</w:t>
      </w:r>
      <w:r w:rsidR="00750D4E">
        <w:t>ork</w:t>
      </w:r>
      <w:r w:rsidR="003674C6">
        <w:t>, UE</w:t>
      </w:r>
      <w:r w:rsidR="00A16EFC">
        <w:t xml:space="preserve"> may</w:t>
      </w:r>
      <w:r w:rsidR="003674C6">
        <w:t xml:space="preserve"> need to switch between different configurations due to vertical moving, so </w:t>
      </w:r>
      <w:r w:rsidR="008F0400">
        <w:t>network need to keep align with</w:t>
      </w:r>
      <w:r w:rsidR="008F0400" w:rsidRPr="008F0400">
        <w:t xml:space="preserve"> </w:t>
      </w:r>
      <w:r w:rsidR="008F0400">
        <w:t>UAV UE on</w:t>
      </w:r>
      <w:r w:rsidR="003674C6">
        <w:t xml:space="preserve"> what the actual configuration the UE</w:t>
      </w:r>
      <w:r w:rsidR="008F0400">
        <w:t xml:space="preserve"> currently</w:t>
      </w:r>
      <w:r w:rsidR="003674C6">
        <w:t xml:space="preserve"> uses.</w:t>
      </w:r>
    </w:p>
    <w:p w14:paraId="40B1D2C5" w14:textId="7AE40F95" w:rsidR="003674C6" w:rsidRDefault="003674C6" w:rsidP="003674C6">
      <w:pPr>
        <w:spacing w:before="156" w:after="156"/>
      </w:pPr>
      <w:r>
        <w:t xml:space="preserve">From our perspective, network can </w:t>
      </w:r>
      <w:r w:rsidR="000D1E9C">
        <w:t>track</w:t>
      </w:r>
      <w:r>
        <w:t xml:space="preserve"> the height of the UE roughly </w:t>
      </w:r>
      <w:r w:rsidR="000D1E9C">
        <w:t>by</w:t>
      </w:r>
      <w:r>
        <w:t xml:space="preserve"> height-dependent measurement reporting. Upon receiving the measurement report triggered by UE height, the network will know</w:t>
      </w:r>
      <w:r w:rsidR="008F0400">
        <w:t xml:space="preserve"> the altitude of the UAV UE so that</w:t>
      </w:r>
      <w:r w:rsidR="00317ADE">
        <w:t xml:space="preserve"> it </w:t>
      </w:r>
      <w:r w:rsidR="000D1E9C">
        <w:t>may</w:t>
      </w:r>
      <w:r w:rsidR="00317ADE">
        <w:t xml:space="preserve"> also</w:t>
      </w:r>
      <w:r w:rsidR="008F0400">
        <w:t xml:space="preserve"> aware of</w:t>
      </w:r>
      <w:r>
        <w:t xml:space="preserve"> </w:t>
      </w:r>
      <w:r w:rsidR="00CF0DAB">
        <w:t>the</w:t>
      </w:r>
      <w:r>
        <w:t xml:space="preserve"> configuration</w:t>
      </w:r>
      <w:r w:rsidR="008F0400">
        <w:t xml:space="preserve"> the</w:t>
      </w:r>
      <w:r>
        <w:t xml:space="preserve"> </w:t>
      </w:r>
      <w:r w:rsidR="008F0400">
        <w:t>UAV UE</w:t>
      </w:r>
      <w:r>
        <w:t xml:space="preserve"> applies. In that case, the measurement configuration switch need to occur based on the height-dependent measurement event or the threshold of the height-dependent</w:t>
      </w:r>
      <w:r w:rsidR="0006693E">
        <w:t xml:space="preserve"> measurement</w:t>
      </w:r>
      <w:r>
        <w:t xml:space="preserve"> event need to be align with the height boundary of applying the</w:t>
      </w:r>
      <w:r w:rsidR="00B14205">
        <w:t xml:space="preserve"> measurement</w:t>
      </w:r>
      <w:r>
        <w:t xml:space="preserve"> configuration switch.</w:t>
      </w:r>
    </w:p>
    <w:p w14:paraId="73FC8734" w14:textId="2229C7C7" w:rsidR="005319B3" w:rsidRDefault="003674C6" w:rsidP="00CA0CA2">
      <w:pPr>
        <w:spacing w:before="156" w:after="156"/>
      </w:pPr>
      <w:r>
        <w:lastRenderedPageBreak/>
        <w:t>Another way to keep the alignment is to explicitly report to the network upon switching between measurement configurations. E.g. Similar to what we have done in RLM/BFD measurement relaxation, which UE need to provide an indication to the NW upon change of its relaxation state for RLM/BFD measurements.</w:t>
      </w:r>
    </w:p>
    <w:p w14:paraId="30867DCD" w14:textId="3F5FABB7" w:rsidR="00D95949" w:rsidRPr="005319B3" w:rsidRDefault="0018366B" w:rsidP="00B86F84">
      <w:pPr>
        <w:pStyle w:val="1st-Proposal-YJ"/>
        <w:spacing w:before="156" w:after="156"/>
      </w:pPr>
      <w:bookmarkStart w:id="138" w:name="_Toc126830712"/>
      <w:bookmarkStart w:id="139" w:name="_Toc126832492"/>
      <w:bookmarkStart w:id="140" w:name="_Toc126832554"/>
      <w:bookmarkStart w:id="141" w:name="_Toc126939735"/>
      <w:bookmarkStart w:id="142" w:name="_Toc126940822"/>
      <w:bookmarkStart w:id="143" w:name="_Toc127456274"/>
      <w:bookmarkStart w:id="144" w:name="_Toc131064292"/>
      <w:bookmarkStart w:id="145" w:name="_Toc131435762"/>
      <w:bookmarkStart w:id="146" w:name="_Toc131520777"/>
      <w:bookmarkStart w:id="147" w:name="_Toc131689043"/>
      <w:r w:rsidRPr="005319B3">
        <w:rPr>
          <w:rFonts w:hint="eastAsia"/>
        </w:rPr>
        <w:t>RAN2 to discuss how to ensure that the measurement configuration used by the UAV UE is aligned between the UAV UE and the network (i.e., switch configuration</w:t>
      </w:r>
      <w:r w:rsidR="00AF25B1">
        <w:t>s</w:t>
      </w:r>
      <w:r w:rsidRPr="005319B3">
        <w:rPr>
          <w:rFonts w:hint="eastAsia"/>
        </w:rPr>
        <w:t xml:space="preserve"> based on height-dependent measurement event or inform the network upon switch).</w:t>
      </w:r>
      <w:bookmarkEnd w:id="138"/>
      <w:bookmarkEnd w:id="139"/>
      <w:bookmarkEnd w:id="140"/>
      <w:bookmarkEnd w:id="141"/>
      <w:bookmarkEnd w:id="142"/>
      <w:bookmarkEnd w:id="143"/>
      <w:bookmarkEnd w:id="144"/>
      <w:bookmarkEnd w:id="145"/>
      <w:bookmarkEnd w:id="146"/>
      <w:bookmarkEnd w:id="147"/>
    </w:p>
    <w:p w14:paraId="11CEE2AD" w14:textId="478E68B6" w:rsidR="00462410" w:rsidRPr="00AC163B" w:rsidRDefault="00C5445F" w:rsidP="009E15F6">
      <w:pPr>
        <w:pStyle w:val="2"/>
        <w:spacing w:before="156"/>
        <w:ind w:right="200"/>
        <w:rPr>
          <w:rStyle w:val="af0"/>
          <w:i w:val="0"/>
        </w:rPr>
      </w:pPr>
      <w:r>
        <w:rPr>
          <w:rStyle w:val="af0"/>
          <w:i w:val="0"/>
        </w:rPr>
        <w:t>2.3</w:t>
      </w:r>
      <w:r w:rsidR="00C75CC4" w:rsidRPr="00AC163B">
        <w:rPr>
          <w:rStyle w:val="af0"/>
          <w:i w:val="0"/>
        </w:rPr>
        <w:t xml:space="preserve"> </w:t>
      </w:r>
      <w:r w:rsidR="006F5381" w:rsidRPr="00AC163B">
        <w:rPr>
          <w:rStyle w:val="af0"/>
          <w:i w:val="0"/>
        </w:rPr>
        <w:t>H</w:t>
      </w:r>
      <w:r w:rsidR="00462410" w:rsidRPr="00AC163B">
        <w:rPr>
          <w:rStyle w:val="af0"/>
          <w:i w:val="0"/>
        </w:rPr>
        <w:t>eight triggered report</w:t>
      </w:r>
      <w:r w:rsidR="00F326BC" w:rsidRPr="00AC163B">
        <w:rPr>
          <w:rStyle w:val="af0"/>
          <w:i w:val="0"/>
        </w:rPr>
        <w:t>ing</w:t>
      </w:r>
    </w:p>
    <w:p w14:paraId="14CEC066" w14:textId="40957DB7" w:rsidR="0075334F" w:rsidRDefault="000C60CA" w:rsidP="00411DB7">
      <w:pPr>
        <w:spacing w:before="156" w:after="156"/>
      </w:pPr>
      <w:r>
        <w:t>For</w:t>
      </w:r>
      <w:r w:rsidR="00FE2479">
        <w:t xml:space="preserve"> LTE R</w:t>
      </w:r>
      <w:r w:rsidRPr="000C60CA">
        <w:t>el-15</w:t>
      </w:r>
      <w:r>
        <w:t xml:space="preserve"> aerial UEs</w:t>
      </w:r>
      <w:r w:rsidRPr="000C60CA">
        <w:t>, s</w:t>
      </w:r>
      <w:r w:rsidR="00462410" w:rsidRPr="00A95FBD">
        <w:t>ame height event H1 or H2 may be triggered again after leaving</w:t>
      </w:r>
      <w:r w:rsidR="00E21A75">
        <w:t xml:space="preserve"> the corresponding event</w:t>
      </w:r>
      <w:r w:rsidR="00462410" w:rsidRPr="00A95FBD">
        <w:t xml:space="preserve">. </w:t>
      </w:r>
      <w:r w:rsidR="00E21A75">
        <w:t>Th</w:t>
      </w:r>
      <w:r w:rsidR="009A6EA2">
        <w:t>erefore</w:t>
      </w:r>
      <w:r w:rsidR="00E21A75">
        <w:t>,</w:t>
      </w:r>
      <w:r w:rsidR="00411DB7">
        <w:t xml:space="preserve"> i</w:t>
      </w:r>
      <w:r w:rsidR="00462410">
        <w:t xml:space="preserve">f UAV UE is flying </w:t>
      </w:r>
      <w:r w:rsidR="00462410" w:rsidRPr="00627635">
        <w:t xml:space="preserve">around the configured </w:t>
      </w:r>
      <w:r w:rsidR="00462410">
        <w:t>reporting height</w:t>
      </w:r>
      <w:r w:rsidR="00462410" w:rsidRPr="00627635">
        <w:t xml:space="preserve"> threshold</w:t>
      </w:r>
      <w:r w:rsidR="00462410">
        <w:t>, measurement report will be triggered frequently</w:t>
      </w:r>
      <w:bookmarkStart w:id="148" w:name="_Toc114676722"/>
      <w:bookmarkStart w:id="149" w:name="_Toc114840115"/>
      <w:bookmarkStart w:id="150" w:name="_Toc114840127"/>
      <w:bookmarkStart w:id="151" w:name="_Toc114840139"/>
      <w:bookmarkStart w:id="152" w:name="_Toc114840334"/>
      <w:bookmarkStart w:id="153" w:name="_Toc114840345"/>
      <w:r w:rsidR="00773A91">
        <w:t>.</w:t>
      </w:r>
      <w:r w:rsidR="003902DF">
        <w:t xml:space="preserve"> </w:t>
      </w:r>
    </w:p>
    <w:p w14:paraId="4B822D36" w14:textId="49CF33A8" w:rsidR="0075334F" w:rsidRDefault="0075334F" w:rsidP="0075334F">
      <w:pPr>
        <w:pStyle w:val="1st-ob-YJ"/>
        <w:spacing w:before="156" w:after="156"/>
      </w:pPr>
      <w:bookmarkStart w:id="154" w:name="_Toc114843950"/>
      <w:bookmarkStart w:id="155" w:name="_Toc114864245"/>
      <w:bookmarkStart w:id="156" w:name="_Toc114864256"/>
      <w:bookmarkStart w:id="157" w:name="_Toc114936554"/>
      <w:bookmarkStart w:id="158" w:name="_Toc114936565"/>
      <w:bookmarkStart w:id="159" w:name="_Toc114936576"/>
      <w:bookmarkStart w:id="160" w:name="_Toc114936587"/>
      <w:bookmarkStart w:id="161" w:name="_Toc114936598"/>
      <w:bookmarkStart w:id="162" w:name="_Toc114936609"/>
      <w:bookmarkStart w:id="163" w:name="_Toc114936620"/>
      <w:bookmarkStart w:id="164" w:name="_Toc114936631"/>
      <w:bookmarkStart w:id="165" w:name="_Toc115273352"/>
      <w:bookmarkStart w:id="166" w:name="_Toc115273364"/>
      <w:bookmarkStart w:id="167" w:name="_Toc115273376"/>
      <w:bookmarkStart w:id="168" w:name="_Toc115273445"/>
      <w:bookmarkStart w:id="169" w:name="_Toc115273457"/>
      <w:bookmarkStart w:id="170" w:name="_Toc115273469"/>
      <w:bookmarkStart w:id="171" w:name="_Toc115273481"/>
      <w:bookmarkStart w:id="172" w:name="_Toc115273493"/>
      <w:bookmarkStart w:id="173" w:name="_Toc115340576"/>
      <w:bookmarkStart w:id="174" w:name="_Toc115340588"/>
      <w:bookmarkStart w:id="175" w:name="_Toc115354609"/>
      <w:bookmarkStart w:id="176" w:name="_Toc115354621"/>
      <w:bookmarkStart w:id="177" w:name="_Toc115358462"/>
      <w:bookmarkStart w:id="178" w:name="_Toc115358474"/>
      <w:bookmarkStart w:id="179" w:name="_Toc115358486"/>
      <w:bookmarkStart w:id="180" w:name="_Toc115358498"/>
      <w:bookmarkStart w:id="181" w:name="_Toc115358534"/>
      <w:bookmarkStart w:id="182" w:name="_Toc115358546"/>
      <w:bookmarkStart w:id="183" w:name="_Toc115358617"/>
      <w:bookmarkStart w:id="184" w:name="_Toc115358629"/>
      <w:bookmarkStart w:id="185" w:name="_Toc117874960"/>
      <w:bookmarkStart w:id="186" w:name="_Toc117875160"/>
      <w:bookmarkStart w:id="187" w:name="_Toc117875175"/>
      <w:bookmarkStart w:id="188" w:name="_Toc117875190"/>
      <w:bookmarkStart w:id="189" w:name="_Toc117875205"/>
      <w:bookmarkStart w:id="190" w:name="_Toc117875220"/>
      <w:bookmarkStart w:id="191" w:name="_Toc117875235"/>
      <w:bookmarkStart w:id="192" w:name="_Toc117875250"/>
      <w:bookmarkStart w:id="193" w:name="_Toc117875265"/>
      <w:bookmarkStart w:id="194" w:name="_Toc118104516"/>
      <w:bookmarkStart w:id="195" w:name="_Toc118220601"/>
      <w:bookmarkStart w:id="196" w:name="_Toc118293740"/>
      <w:bookmarkStart w:id="197" w:name="_Toc118454155"/>
      <w:bookmarkStart w:id="198" w:name="_Toc126830708"/>
      <w:bookmarkStart w:id="199" w:name="_Toc126832486"/>
      <w:bookmarkStart w:id="200" w:name="_Toc126832548"/>
      <w:bookmarkStart w:id="201" w:name="_Toc126939729"/>
      <w:bookmarkStart w:id="202" w:name="_Toc126940816"/>
      <w:bookmarkStart w:id="203" w:name="_Toc127456268"/>
      <w:bookmarkStart w:id="204" w:name="_Toc131064286"/>
      <w:bookmarkStart w:id="205" w:name="_Toc131435754"/>
      <w:bookmarkStart w:id="206" w:name="_Toc131520769"/>
      <w:bookmarkStart w:id="207" w:name="_Toc131689034"/>
      <w:r>
        <w:rPr>
          <w:rFonts w:eastAsiaTheme="minorEastAsia"/>
        </w:rPr>
        <w:t>Height</w:t>
      </w:r>
      <w:r w:rsidR="00CA3123">
        <w:rPr>
          <w:rFonts w:eastAsiaTheme="minorEastAsia"/>
        </w:rPr>
        <w:t>-</w:t>
      </w:r>
      <w:r>
        <w:rPr>
          <w:rFonts w:eastAsiaTheme="minorEastAsia"/>
        </w:rPr>
        <w:t xml:space="preserve">triggered measurement reporting </w:t>
      </w:r>
      <w:r w:rsidR="00CA3123">
        <w:rPr>
          <w:rFonts w:eastAsiaTheme="minorEastAsia"/>
        </w:rPr>
        <w:t>may</w:t>
      </w:r>
      <w:r>
        <w:rPr>
          <w:rFonts w:eastAsiaTheme="minorEastAsia"/>
        </w:rPr>
        <w:t xml:space="preserve"> also cause signaling overhead.</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B9D5C15" w14:textId="671E657F" w:rsidR="00E00E32" w:rsidRDefault="00B96F7E" w:rsidP="00411DB7">
      <w:pPr>
        <w:spacing w:before="156" w:after="156"/>
      </w:pPr>
      <w:r>
        <w:t>To reduce the amount of height triggered reporting, n</w:t>
      </w:r>
      <w:r w:rsidR="00A53E52">
        <w:t xml:space="preserve">ew height event </w:t>
      </w:r>
      <w:r w:rsidR="006B2FD4">
        <w:t xml:space="preserve">reflecting </w:t>
      </w:r>
      <w:r w:rsidR="00A53E52">
        <w:t>height variation could be considered. Since the height of the UAV</w:t>
      </w:r>
      <w:r w:rsidR="00E307FE">
        <w:t xml:space="preserve"> UE</w:t>
      </w:r>
      <w:r w:rsidR="00A53E52">
        <w:t xml:space="preserve"> </w:t>
      </w:r>
      <w:r w:rsidR="005165A1">
        <w:t>can be</w:t>
      </w:r>
      <w:r w:rsidR="00A53E52">
        <w:t xml:space="preserve"> included in each measurement report, the variation of the height will be more </w:t>
      </w:r>
      <w:r w:rsidR="00496104" w:rsidRPr="00496104">
        <w:t xml:space="preserve">valuable </w:t>
      </w:r>
      <w:r w:rsidR="00692B91">
        <w:t>for network to track the altitude of the UAV</w:t>
      </w:r>
      <w:r w:rsidR="00356FD8">
        <w:t>.</w:t>
      </w:r>
      <w:r w:rsidR="00496104">
        <w:t xml:space="preserve"> </w:t>
      </w:r>
      <w:r w:rsidR="00356FD8">
        <w:t>Based on this approach,</w:t>
      </w:r>
      <w:r w:rsidR="00496104">
        <w:t xml:space="preserve"> </w:t>
      </w:r>
      <w:r w:rsidR="00692B91">
        <w:t>reporting due to enter or leave</w:t>
      </w:r>
      <w:r w:rsidR="00496104">
        <w:t xml:space="preserve"> </w:t>
      </w:r>
      <w:r w:rsidR="0064110E">
        <w:t xml:space="preserve">a </w:t>
      </w:r>
      <w:r w:rsidR="00496104">
        <w:t xml:space="preserve">same </w:t>
      </w:r>
      <w:r w:rsidR="00E92846">
        <w:t xml:space="preserve">height </w:t>
      </w:r>
      <w:r w:rsidR="00496104">
        <w:t xml:space="preserve">event </w:t>
      </w:r>
      <w:r w:rsidR="00356FD8">
        <w:t>may also be limited</w:t>
      </w:r>
      <w:r w:rsidR="00496104">
        <w:t>.</w:t>
      </w:r>
      <w:r w:rsidR="002346E3">
        <w:t xml:space="preserve"> </w:t>
      </w:r>
    </w:p>
    <w:p w14:paraId="3F7B8014" w14:textId="50B7A35B" w:rsidR="00390079" w:rsidRDefault="00CA3123" w:rsidP="00390079">
      <w:pPr>
        <w:pStyle w:val="1st-Proposal-YJ"/>
        <w:spacing w:before="156" w:after="156"/>
        <w:rPr>
          <w:rFonts w:eastAsiaTheme="minorEastAsia"/>
        </w:rPr>
      </w:pPr>
      <w:bookmarkStart w:id="208" w:name="_Toc117874970"/>
      <w:bookmarkStart w:id="209" w:name="_Toc117875155"/>
      <w:bookmarkStart w:id="210" w:name="_Toc117875170"/>
      <w:bookmarkStart w:id="211" w:name="_Toc117875185"/>
      <w:bookmarkStart w:id="212" w:name="_Toc117875200"/>
      <w:bookmarkStart w:id="213" w:name="_Toc117875215"/>
      <w:bookmarkStart w:id="214" w:name="_Toc117875230"/>
      <w:bookmarkStart w:id="215" w:name="_Toc117875245"/>
      <w:bookmarkStart w:id="216" w:name="_Toc117875260"/>
      <w:bookmarkStart w:id="217" w:name="_Toc117875275"/>
      <w:bookmarkStart w:id="218" w:name="_Toc118104526"/>
      <w:bookmarkStart w:id="219" w:name="_Toc118220611"/>
      <w:bookmarkStart w:id="220" w:name="_Toc118293750"/>
      <w:bookmarkStart w:id="221" w:name="_Toc118389057"/>
      <w:bookmarkStart w:id="222" w:name="_Toc118454164"/>
      <w:bookmarkStart w:id="223" w:name="_Toc126830714"/>
      <w:bookmarkStart w:id="224" w:name="_Toc126832494"/>
      <w:bookmarkStart w:id="225" w:name="_Toc126832556"/>
      <w:bookmarkStart w:id="226" w:name="_Toc126939737"/>
      <w:bookmarkStart w:id="227" w:name="_Toc126940824"/>
      <w:bookmarkStart w:id="228" w:name="_Toc127456276"/>
      <w:bookmarkStart w:id="229" w:name="_Toc131064294"/>
      <w:bookmarkStart w:id="230" w:name="_Toc131435763"/>
      <w:bookmarkStart w:id="231" w:name="_Toc131520778"/>
      <w:bookmarkStart w:id="232" w:name="_Toc114676726"/>
      <w:bookmarkStart w:id="233" w:name="_Toc114840119"/>
      <w:bookmarkStart w:id="234" w:name="_Toc114840131"/>
      <w:bookmarkStart w:id="235" w:name="_Toc114840143"/>
      <w:bookmarkStart w:id="236" w:name="_Toc114840338"/>
      <w:bookmarkStart w:id="237" w:name="_Toc114840349"/>
      <w:bookmarkStart w:id="238" w:name="_Toc114843955"/>
      <w:bookmarkStart w:id="239" w:name="_Toc114864250"/>
      <w:bookmarkStart w:id="240" w:name="_Toc114864261"/>
      <w:bookmarkStart w:id="241" w:name="_Toc114936559"/>
      <w:bookmarkStart w:id="242" w:name="_Toc114936570"/>
      <w:bookmarkStart w:id="243" w:name="_Toc114936581"/>
      <w:bookmarkStart w:id="244" w:name="_Toc114936592"/>
      <w:bookmarkStart w:id="245" w:name="_Toc114936603"/>
      <w:bookmarkStart w:id="246" w:name="_Toc114936614"/>
      <w:bookmarkStart w:id="247" w:name="_Toc114936625"/>
      <w:bookmarkStart w:id="248" w:name="_Toc114936636"/>
      <w:bookmarkStart w:id="249" w:name="_Toc115273358"/>
      <w:bookmarkStart w:id="250" w:name="_Toc115273370"/>
      <w:bookmarkStart w:id="251" w:name="_Toc115273382"/>
      <w:bookmarkStart w:id="252" w:name="_Toc115273451"/>
      <w:bookmarkStart w:id="253" w:name="_Toc115273463"/>
      <w:bookmarkStart w:id="254" w:name="_Toc115273475"/>
      <w:bookmarkStart w:id="255" w:name="_Toc115273487"/>
      <w:bookmarkStart w:id="256" w:name="_Toc115273499"/>
      <w:bookmarkStart w:id="257" w:name="_Toc115340582"/>
      <w:bookmarkStart w:id="258" w:name="_Toc115340594"/>
      <w:bookmarkStart w:id="259" w:name="_Toc115354615"/>
      <w:bookmarkStart w:id="260" w:name="_Toc115354627"/>
      <w:bookmarkStart w:id="261" w:name="_Toc115358468"/>
      <w:bookmarkStart w:id="262" w:name="_Toc115358480"/>
      <w:bookmarkStart w:id="263" w:name="_Toc115358492"/>
      <w:bookmarkStart w:id="264" w:name="_Toc115358504"/>
      <w:bookmarkStart w:id="265" w:name="_Toc115358540"/>
      <w:bookmarkStart w:id="266" w:name="_Toc115358552"/>
      <w:bookmarkStart w:id="267" w:name="_Toc115358623"/>
      <w:bookmarkStart w:id="268" w:name="_Toc115358635"/>
      <w:bookmarkStart w:id="269" w:name="_Toc131689044"/>
      <w:bookmarkEnd w:id="148"/>
      <w:bookmarkEnd w:id="149"/>
      <w:bookmarkEnd w:id="150"/>
      <w:bookmarkEnd w:id="151"/>
      <w:bookmarkEnd w:id="152"/>
      <w:bookmarkEnd w:id="153"/>
      <w:r w:rsidRPr="00091989">
        <w:rPr>
          <w:rFonts w:eastAsiaTheme="minorEastAsia"/>
        </w:rPr>
        <w:t xml:space="preserve">RAN2 </w:t>
      </w:r>
      <w:bookmarkStart w:id="270" w:name="OLE_LINK19"/>
      <w:bookmarkStart w:id="271" w:name="OLE_LINK20"/>
      <w:r w:rsidRPr="00091989">
        <w:rPr>
          <w:rFonts w:eastAsiaTheme="minorEastAsia"/>
        </w:rPr>
        <w:t>to consider</w:t>
      </w:r>
      <w:bookmarkEnd w:id="270"/>
      <w:bookmarkEnd w:id="271"/>
      <w:r w:rsidRPr="00091989">
        <w:rPr>
          <w:rFonts w:eastAsiaTheme="minorEastAsia"/>
        </w:rPr>
        <w:t xml:space="preserve"> </w:t>
      </w:r>
      <w:r w:rsidR="00091989" w:rsidRPr="00091989">
        <w:rPr>
          <w:rFonts w:eastAsiaTheme="minorEastAsia"/>
        </w:rPr>
        <w:t>new height event trigger</w:t>
      </w:r>
      <w:r w:rsidR="00091989" w:rsidRPr="0008390E">
        <w:rPr>
          <w:rFonts w:eastAsiaTheme="minorEastAsia"/>
        </w:rPr>
        <w:t xml:space="preserve">ed by </w:t>
      </w:r>
      <w:r w:rsidR="00091989">
        <w:t>height variation</w:t>
      </w:r>
      <w:r w:rsidR="00282B93">
        <w: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69"/>
      <w:r w:rsidR="00091989" w:rsidRPr="00091989">
        <w:rPr>
          <w:rFonts w:eastAsiaTheme="minorEastAsia"/>
        </w:rPr>
        <w:t xml:space="preserve"> </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64F445EF" w14:textId="77777777" w:rsidR="000A3782" w:rsidRDefault="000A3782" w:rsidP="000A3782">
      <w:pPr>
        <w:pStyle w:val="1"/>
        <w:numPr>
          <w:ilvl w:val="0"/>
          <w:numId w:val="1"/>
        </w:numPr>
        <w:spacing w:beforeLines="0" w:before="0" w:after="156"/>
        <w:rPr>
          <w:rFonts w:eastAsia="宋体"/>
          <w:sz w:val="28"/>
          <w:szCs w:val="28"/>
        </w:rPr>
      </w:pPr>
      <w:bookmarkStart w:id="272" w:name="_Toc77689036"/>
      <w:bookmarkStart w:id="273" w:name="_Toc77689047"/>
      <w:bookmarkStart w:id="274" w:name="_Toc77689058"/>
      <w:bookmarkStart w:id="275" w:name="_Toc77689069"/>
      <w:bookmarkStart w:id="276" w:name="_Toc77689080"/>
      <w:bookmarkStart w:id="277" w:name="_Toc77689091"/>
      <w:bookmarkStart w:id="278" w:name="_Toc77689102"/>
      <w:bookmarkStart w:id="279" w:name="_Toc77689113"/>
      <w:bookmarkStart w:id="280" w:name="_Toc77689124"/>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2"/>
      <w:bookmarkEnd w:id="273"/>
      <w:bookmarkEnd w:id="274"/>
      <w:bookmarkEnd w:id="275"/>
      <w:bookmarkEnd w:id="276"/>
      <w:bookmarkEnd w:id="277"/>
      <w:bookmarkEnd w:id="278"/>
      <w:bookmarkEnd w:id="279"/>
      <w:bookmarkEnd w:id="280"/>
      <w:r w:rsidRPr="00FA58D0">
        <w:rPr>
          <w:rFonts w:eastAsia="宋体"/>
          <w:sz w:val="28"/>
          <w:szCs w:val="28"/>
        </w:rPr>
        <w:t>Conclusion</w:t>
      </w:r>
    </w:p>
    <w:p w14:paraId="415E0B5D" w14:textId="77777777" w:rsidR="004A497A" w:rsidRDefault="000A3782">
      <w:pPr>
        <w:pStyle w:val="11"/>
        <w:rPr>
          <w:rFonts w:asciiTheme="minorHAnsi" w:eastAsiaTheme="minorEastAsia" w:hAnsiTheme="minorHAnsi" w:cstheme="minorBidi"/>
          <w:b w:val="0"/>
          <w:i w:val="0"/>
          <w:noProof/>
          <w:sz w:val="21"/>
          <w:szCs w:val="22"/>
        </w:rPr>
      </w:pPr>
      <w:r>
        <w:rPr>
          <w:rFonts w:eastAsia="宋体"/>
          <w:b w:val="0"/>
          <w:i w:val="0"/>
        </w:rPr>
        <w:fldChar w:fldCharType="begin"/>
      </w:r>
      <w:r>
        <w:rPr>
          <w:rFonts w:eastAsia="宋体"/>
          <w:b w:val="0"/>
          <w:i w:val="0"/>
        </w:rPr>
        <w:instrText xml:space="preserve"> TOC \n \t "1st-Ob-YJ,1,2nd-Ob-YJ,2,3nd-Ob-YJ,3"  \* MERGEFORMAT </w:instrText>
      </w:r>
      <w:r>
        <w:rPr>
          <w:rFonts w:eastAsia="宋体"/>
          <w:b w:val="0"/>
          <w:i w:val="0"/>
        </w:rPr>
        <w:fldChar w:fldCharType="separate"/>
      </w:r>
      <w:r w:rsidR="004A497A" w:rsidRPr="004E20EE">
        <w:rPr>
          <w:rFonts w:eastAsia="宋体"/>
          <w:noProof/>
        </w:rPr>
        <w:t>Observation 1:</w:t>
      </w:r>
      <w:r w:rsidR="004A497A">
        <w:rPr>
          <w:rFonts w:asciiTheme="minorHAnsi" w:eastAsiaTheme="minorEastAsia" w:hAnsiTheme="minorHAnsi" w:cstheme="minorBidi"/>
          <w:b w:val="0"/>
          <w:i w:val="0"/>
          <w:noProof/>
          <w:sz w:val="21"/>
          <w:szCs w:val="22"/>
        </w:rPr>
        <w:tab/>
      </w:r>
      <w:r w:rsidR="004A497A" w:rsidRPr="004E20EE">
        <w:rPr>
          <w:rFonts w:eastAsiaTheme="minorEastAsia"/>
          <w:noProof/>
        </w:rPr>
        <w:t>Height-triggered measurement reporting may also cause signaling overhead.</w:t>
      </w:r>
    </w:p>
    <w:p w14:paraId="59A09172" w14:textId="77777777" w:rsidR="004A497A" w:rsidRDefault="000A3782">
      <w:pPr>
        <w:pStyle w:val="11"/>
        <w:rPr>
          <w:noProof/>
        </w:rPr>
      </w:pPr>
      <w:r>
        <w:rPr>
          <w:rFonts w:eastAsia="宋体"/>
          <w:b w:val="0"/>
          <w:i w:val="0"/>
        </w:rPr>
        <w:fldChar w:fldCharType="end"/>
      </w:r>
      <w:r w:rsidR="006753CC">
        <w:rPr>
          <w:rFonts w:eastAsiaTheme="minorEastAsia"/>
        </w:rPr>
        <w:fldChar w:fldCharType="begin"/>
      </w:r>
      <w:r w:rsidR="006753CC">
        <w:rPr>
          <w:rFonts w:eastAsiaTheme="minorEastAsia"/>
        </w:rPr>
        <w:instrText xml:space="preserve"> TOC \n \t "1st-Proposal-YJ,1,2nd-proposal-YJ,2,3nd-proposal-YJ,3"  \* MERGEFORMAT </w:instrText>
      </w:r>
      <w:r w:rsidR="006753CC">
        <w:rPr>
          <w:rFonts w:eastAsiaTheme="minorEastAsia"/>
        </w:rPr>
        <w:fldChar w:fldCharType="separate"/>
      </w:r>
    </w:p>
    <w:p w14:paraId="7FF8A876"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noProof/>
        </w:rPr>
        <w:t xml:space="preserve">Observation 1: Linking two measurement IDs may </w:t>
      </w:r>
      <w:bookmarkStart w:id="281" w:name="_GoBack"/>
      <w:bookmarkEnd w:id="281"/>
      <w:r w:rsidRPr="004C538E">
        <w:rPr>
          <w:rFonts w:eastAsia="宋体"/>
          <w:noProof/>
        </w:rPr>
        <w:t>disrupt the current structure of report configurations and have a significant impact on the measurement report triggering procedure.</w:t>
      </w:r>
    </w:p>
    <w:p w14:paraId="0163C636"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noProof/>
        </w:rPr>
        <w:t>Proposal 1: To minimize the impact on the current measurement report configuration and triggering structure, consider the following options to combine height-dependent conditions with RSRP/RSRQ/SINR-based conditions:</w:t>
      </w:r>
    </w:p>
    <w:p w14:paraId="6BB7A529"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b w:val="0"/>
          <w:i w:val="0"/>
          <w:noProof/>
        </w:rPr>
        <w:t>-</w:t>
      </w:r>
      <w:r>
        <w:rPr>
          <w:rFonts w:asciiTheme="minorHAnsi" w:eastAsiaTheme="minorEastAsia" w:hAnsiTheme="minorHAnsi" w:cstheme="minorBidi"/>
          <w:b w:val="0"/>
          <w:i w:val="0"/>
          <w:noProof/>
          <w:sz w:val="21"/>
          <w:szCs w:val="22"/>
        </w:rPr>
        <w:tab/>
      </w:r>
      <w:r w:rsidRPr="004C538E">
        <w:rPr>
          <w:rFonts w:eastAsia="宋体"/>
          <w:noProof/>
        </w:rPr>
        <w:t>Option 1: Link ONE report configuration to TWO measurement events.</w:t>
      </w:r>
    </w:p>
    <w:p w14:paraId="7F4801CA"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b w:val="0"/>
          <w:i w:val="0"/>
          <w:noProof/>
        </w:rPr>
        <w:t>-</w:t>
      </w:r>
      <w:r>
        <w:rPr>
          <w:rFonts w:asciiTheme="minorHAnsi" w:eastAsiaTheme="minorEastAsia" w:hAnsiTheme="minorHAnsi" w:cstheme="minorBidi"/>
          <w:b w:val="0"/>
          <w:i w:val="0"/>
          <w:noProof/>
          <w:sz w:val="21"/>
          <w:szCs w:val="22"/>
        </w:rPr>
        <w:tab/>
      </w:r>
      <w:r w:rsidRPr="004C538E">
        <w:rPr>
          <w:rFonts w:eastAsia="宋体"/>
          <w:noProof/>
        </w:rPr>
        <w:t>Option 2: Link ONE measurement ID to TWO report configurations.</w:t>
      </w:r>
    </w:p>
    <w:p w14:paraId="08799D58"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noProof/>
        </w:rPr>
        <w:t>Proposal 1:</w:t>
      </w:r>
      <w:r>
        <w:rPr>
          <w:rFonts w:asciiTheme="minorHAnsi" w:eastAsiaTheme="minorEastAsia" w:hAnsiTheme="minorHAnsi" w:cstheme="minorBidi"/>
          <w:b w:val="0"/>
          <w:i w:val="0"/>
          <w:noProof/>
          <w:sz w:val="21"/>
          <w:szCs w:val="22"/>
        </w:rPr>
        <w:tab/>
      </w:r>
      <w:r>
        <w:rPr>
          <w:noProof/>
        </w:rPr>
        <w:t>RAN2 to consider following height-dependent configurations for measurement performing and measurement report triggering:</w:t>
      </w:r>
    </w:p>
    <w:p w14:paraId="3C95EF4B" w14:textId="77777777" w:rsidR="004A497A" w:rsidRDefault="004A497A">
      <w:pPr>
        <w:pStyle w:val="11"/>
        <w:rPr>
          <w:rFonts w:asciiTheme="minorHAnsi" w:eastAsiaTheme="minorEastAsia" w:hAnsiTheme="minorHAnsi" w:cstheme="minorBidi"/>
          <w:b w:val="0"/>
          <w:i w:val="0"/>
          <w:noProof/>
          <w:sz w:val="21"/>
          <w:szCs w:val="22"/>
        </w:rPr>
      </w:pPr>
      <w:r w:rsidRPr="004C538E">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 xml:space="preserve">Exclude-listed cells and </w:t>
      </w:r>
      <w:r w:rsidRPr="004C538E">
        <w:rPr>
          <w:rFonts w:cstheme="minorBidi"/>
          <w:noProof/>
        </w:rPr>
        <w:t>allow-listed</w:t>
      </w:r>
      <w:r>
        <w:rPr>
          <w:noProof/>
        </w:rPr>
        <w:t xml:space="preserve"> cells</w:t>
      </w:r>
    </w:p>
    <w:p w14:paraId="5F09DE2C" w14:textId="77777777" w:rsidR="004A497A" w:rsidRDefault="004A497A">
      <w:pPr>
        <w:pStyle w:val="11"/>
        <w:rPr>
          <w:rFonts w:asciiTheme="minorHAnsi" w:eastAsiaTheme="minorEastAsia" w:hAnsiTheme="minorHAnsi" w:cstheme="minorBidi"/>
          <w:b w:val="0"/>
          <w:i w:val="0"/>
          <w:noProof/>
          <w:sz w:val="21"/>
          <w:szCs w:val="22"/>
        </w:rPr>
      </w:pPr>
      <w:r w:rsidRPr="004C538E">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A3/A4/A5 triggering threshold</w:t>
      </w:r>
    </w:p>
    <w:p w14:paraId="189D143B" w14:textId="77777777" w:rsidR="004A497A" w:rsidRDefault="004A497A">
      <w:pPr>
        <w:pStyle w:val="11"/>
        <w:rPr>
          <w:rFonts w:asciiTheme="minorHAnsi" w:eastAsiaTheme="minorEastAsia" w:hAnsiTheme="minorHAnsi" w:cstheme="minorBidi"/>
          <w:b w:val="0"/>
          <w:i w:val="0"/>
          <w:noProof/>
          <w:sz w:val="21"/>
          <w:szCs w:val="22"/>
        </w:rPr>
      </w:pPr>
      <w:r w:rsidRPr="004C538E">
        <w:rPr>
          <w:rFonts w:ascii="宋体" w:eastAsia="宋体" w:hAnsi="宋体"/>
          <w:b w:val="0"/>
          <w:i w:val="0"/>
          <w:noProof/>
        </w:rPr>
        <w:t>•</w:t>
      </w:r>
      <w:r>
        <w:rPr>
          <w:rFonts w:asciiTheme="minorHAnsi" w:eastAsiaTheme="minorEastAsia" w:hAnsiTheme="minorHAnsi" w:cstheme="minorBidi"/>
          <w:b w:val="0"/>
          <w:i w:val="0"/>
          <w:noProof/>
          <w:sz w:val="21"/>
          <w:szCs w:val="22"/>
        </w:rPr>
        <w:tab/>
      </w:r>
      <w:r>
        <w:rPr>
          <w:noProof/>
        </w:rPr>
        <w:t>NumberOfTriggeringCells.</w:t>
      </w:r>
    </w:p>
    <w:p w14:paraId="5D1DD188"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noProof/>
        </w:rPr>
        <w:t>Proposal 2:</w:t>
      </w:r>
      <w:r>
        <w:rPr>
          <w:rFonts w:asciiTheme="minorHAnsi" w:eastAsiaTheme="minorEastAsia" w:hAnsiTheme="minorHAnsi" w:cstheme="minorBidi"/>
          <w:b w:val="0"/>
          <w:i w:val="0"/>
          <w:noProof/>
          <w:sz w:val="21"/>
          <w:szCs w:val="22"/>
        </w:rPr>
        <w:tab/>
      </w:r>
      <w:r>
        <w:rPr>
          <w:noProof/>
        </w:rPr>
        <w:t>RAN2 to discuss how to ensure that the measurement configuration used by the UAV UE is aligned between the UAV UE and the network (i.e., switch configurations based on height-dependent measurement event or inform the network upon switch).</w:t>
      </w:r>
    </w:p>
    <w:p w14:paraId="5BFC2DCA" w14:textId="77777777" w:rsidR="004A497A" w:rsidRDefault="004A497A">
      <w:pPr>
        <w:pStyle w:val="11"/>
        <w:rPr>
          <w:rFonts w:asciiTheme="minorHAnsi" w:eastAsiaTheme="minorEastAsia" w:hAnsiTheme="minorHAnsi" w:cstheme="minorBidi"/>
          <w:b w:val="0"/>
          <w:i w:val="0"/>
          <w:noProof/>
          <w:sz w:val="21"/>
          <w:szCs w:val="22"/>
        </w:rPr>
      </w:pPr>
      <w:r w:rsidRPr="004C538E">
        <w:rPr>
          <w:rFonts w:eastAsia="宋体"/>
          <w:noProof/>
        </w:rPr>
        <w:t>Proposal 3:</w:t>
      </w:r>
      <w:r>
        <w:rPr>
          <w:rFonts w:asciiTheme="minorHAnsi" w:eastAsiaTheme="minorEastAsia" w:hAnsiTheme="minorHAnsi" w:cstheme="minorBidi"/>
          <w:b w:val="0"/>
          <w:i w:val="0"/>
          <w:noProof/>
          <w:sz w:val="21"/>
          <w:szCs w:val="22"/>
        </w:rPr>
        <w:tab/>
      </w:r>
      <w:r w:rsidRPr="004C538E">
        <w:rPr>
          <w:rFonts w:eastAsiaTheme="minorEastAsia"/>
          <w:noProof/>
        </w:rPr>
        <w:t xml:space="preserve">RAN2 to consider new height event triggered by </w:t>
      </w:r>
      <w:r>
        <w:rPr>
          <w:noProof/>
        </w:rPr>
        <w:t>height variation.</w:t>
      </w:r>
    </w:p>
    <w:p w14:paraId="748AFAD2" w14:textId="3CA62809" w:rsidR="000A3782" w:rsidRPr="00495931" w:rsidRDefault="006753CC" w:rsidP="00495931">
      <w:pPr>
        <w:pStyle w:val="1"/>
        <w:numPr>
          <w:ilvl w:val="0"/>
          <w:numId w:val="1"/>
        </w:numPr>
        <w:spacing w:beforeLines="0" w:before="0" w:after="156"/>
        <w:rPr>
          <w:rFonts w:eastAsia="宋体"/>
          <w:sz w:val="28"/>
          <w:szCs w:val="28"/>
        </w:rPr>
      </w:pPr>
      <w:r>
        <w:rPr>
          <w:rFonts w:eastAsiaTheme="minorEastAsia"/>
        </w:rPr>
        <w:lastRenderedPageBreak/>
        <w:fldChar w:fldCharType="end"/>
      </w:r>
      <w:r w:rsidR="000A3782" w:rsidRPr="00495931">
        <w:rPr>
          <w:rFonts w:eastAsia="宋体"/>
          <w:sz w:val="28"/>
          <w:szCs w:val="28"/>
        </w:rPr>
        <w:t>References</w:t>
      </w:r>
    </w:p>
    <w:p w14:paraId="7EDB9B2F" w14:textId="78E50C5A" w:rsidR="00BB3234" w:rsidRPr="00346A77" w:rsidRDefault="000A3782" w:rsidP="000A3782">
      <w:pPr>
        <w:spacing w:before="156" w:after="156"/>
        <w:rPr>
          <w:rFonts w:eastAsiaTheme="minorEastAsia" w:cs="Arial"/>
        </w:rPr>
      </w:pPr>
      <w:r w:rsidRPr="006125D4">
        <w:rPr>
          <w:bCs/>
        </w:rPr>
        <w:t xml:space="preserve">[1] </w:t>
      </w:r>
      <w:r w:rsidR="000152CF">
        <w:rPr>
          <w:rFonts w:cs="Arial"/>
        </w:rPr>
        <w:t>R2-23</w:t>
      </w:r>
      <w:r w:rsidR="000152CF" w:rsidRPr="00EA3B32">
        <w:rPr>
          <w:rFonts w:cs="Arial"/>
        </w:rPr>
        <w:t>xxxxx</w:t>
      </w:r>
      <w:r w:rsidR="000152CF" w:rsidRPr="00640388">
        <w:rPr>
          <w:rFonts w:cs="Arial"/>
        </w:rPr>
        <w:t xml:space="preserve">, </w:t>
      </w:r>
      <w:r w:rsidR="000152CF" w:rsidRPr="00305B9C">
        <w:rPr>
          <w:rFonts w:cs="Arial"/>
        </w:rPr>
        <w:t xml:space="preserve">Report </w:t>
      </w:r>
      <w:r w:rsidR="00E55F8A">
        <w:rPr>
          <w:rFonts w:cs="Arial"/>
        </w:rPr>
        <w:t>of 3GPP TSG RAN WG2 meeting #121</w:t>
      </w:r>
      <w:r w:rsidR="000152CF" w:rsidRPr="00640388">
        <w:rPr>
          <w:rFonts w:cs="Arial"/>
        </w:rPr>
        <w:t xml:space="preserve">, </w:t>
      </w:r>
      <w:r w:rsidR="000152CF" w:rsidRPr="00347BC6">
        <w:rPr>
          <w:rFonts w:cs="Arial"/>
        </w:rPr>
        <w:t>ETSI MCC</w:t>
      </w:r>
      <w:r w:rsidR="000152CF" w:rsidRPr="00640388">
        <w:rPr>
          <w:rFonts w:cs="Arial"/>
        </w:rPr>
        <w:t>.</w:t>
      </w:r>
    </w:p>
    <w:sectPr w:rsidR="00BB3234" w:rsidRPr="00346A77" w:rsidSect="00E7665A">
      <w:headerReference w:type="even" r:id="rId8"/>
      <w:headerReference w:type="default" r:id="rId9"/>
      <w:footerReference w:type="even" r:id="rId10"/>
      <w:footerReference w:type="default" r:id="rId11"/>
      <w:headerReference w:type="first" r:id="rId12"/>
      <w:footerReference w:type="first" r:id="rId13"/>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FC1AFD" w14:textId="77777777" w:rsidR="00D143C0" w:rsidRDefault="00D143C0" w:rsidP="008242C1">
      <w:pPr>
        <w:spacing w:before="120" w:after="120"/>
      </w:pPr>
      <w:r>
        <w:separator/>
      </w:r>
    </w:p>
    <w:p w14:paraId="15A44CD4" w14:textId="77777777" w:rsidR="00D143C0" w:rsidRDefault="00D143C0">
      <w:pPr>
        <w:spacing w:before="120" w:after="120"/>
      </w:pPr>
    </w:p>
  </w:endnote>
  <w:endnote w:type="continuationSeparator" w:id="0">
    <w:p w14:paraId="1668E6F3" w14:textId="77777777" w:rsidR="00D143C0" w:rsidRDefault="00D143C0" w:rsidP="008242C1">
      <w:pPr>
        <w:spacing w:before="120" w:after="120"/>
      </w:pPr>
      <w:r>
        <w:continuationSeparator/>
      </w:r>
    </w:p>
    <w:p w14:paraId="5170C6CD" w14:textId="77777777" w:rsidR="00D143C0" w:rsidRDefault="00D143C0">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C3E" w14:textId="77777777" w:rsidR="00A6662C" w:rsidRDefault="00A6662C">
    <w:pPr>
      <w:pStyle w:val="a7"/>
      <w:spacing w:before="120" w:after="120"/>
    </w:pPr>
  </w:p>
  <w:p w14:paraId="0539AD86" w14:textId="77777777" w:rsidR="00A6662C" w:rsidRDefault="00A6662C">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7715629"/>
      <w:docPartObj>
        <w:docPartGallery w:val="Page Numbers (Bottom of Page)"/>
        <w:docPartUnique/>
      </w:docPartObj>
    </w:sdtPr>
    <w:sdtEndPr>
      <w:rPr>
        <w:sz w:val="20"/>
        <w:szCs w:val="20"/>
      </w:rPr>
    </w:sdtEndPr>
    <w:sdtContent>
      <w:p w14:paraId="178A77BD" w14:textId="598E833F" w:rsidR="00A6662C" w:rsidRPr="007B2F6F" w:rsidRDefault="00A6662C" w:rsidP="007B2F6F">
        <w:pPr>
          <w:pStyle w:val="a7"/>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4A497A" w:rsidRPr="004A497A">
          <w:rPr>
            <w:noProof/>
            <w:sz w:val="20"/>
            <w:szCs w:val="20"/>
            <w:lang w:val="zh-CN"/>
          </w:rPr>
          <w:t>5</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3E981" w14:textId="77777777" w:rsidR="00A6662C" w:rsidRDefault="00A6662C">
    <w:pPr>
      <w:pStyle w:val="a7"/>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E4CEE7" w14:textId="77777777" w:rsidR="00D143C0" w:rsidRDefault="00D143C0" w:rsidP="008242C1">
      <w:pPr>
        <w:spacing w:before="120" w:after="120"/>
      </w:pPr>
      <w:r>
        <w:separator/>
      </w:r>
    </w:p>
    <w:p w14:paraId="67E253F9" w14:textId="77777777" w:rsidR="00D143C0" w:rsidRDefault="00D143C0">
      <w:pPr>
        <w:spacing w:before="120" w:after="120"/>
      </w:pPr>
    </w:p>
  </w:footnote>
  <w:footnote w:type="continuationSeparator" w:id="0">
    <w:p w14:paraId="087E291F" w14:textId="77777777" w:rsidR="00D143C0" w:rsidRDefault="00D143C0" w:rsidP="008242C1">
      <w:pPr>
        <w:spacing w:before="120" w:after="120"/>
      </w:pPr>
      <w:r>
        <w:continuationSeparator/>
      </w:r>
    </w:p>
    <w:p w14:paraId="6AFC5137" w14:textId="77777777" w:rsidR="00D143C0" w:rsidRDefault="00D143C0">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2CB17" w14:textId="77777777" w:rsidR="00A6662C" w:rsidRDefault="00A6662C">
    <w:pPr>
      <w:pStyle w:val="a5"/>
      <w:spacing w:before="120" w:after="120"/>
    </w:pPr>
  </w:p>
  <w:p w14:paraId="24060235" w14:textId="77777777" w:rsidR="00A6662C" w:rsidRDefault="00A6662C">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239E41" w14:textId="77777777" w:rsidR="00A6662C" w:rsidRPr="007B2F6F" w:rsidRDefault="00A6662C"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5A30B" w14:textId="77777777" w:rsidR="00A6662C" w:rsidRDefault="00A6662C">
    <w:pPr>
      <w:pStyle w:val="a5"/>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013E"/>
    <w:multiLevelType w:val="hybridMultilevel"/>
    <w:tmpl w:val="B57AC06E"/>
    <w:lvl w:ilvl="0" w:tplc="58E6E9BC">
      <w:start w:val="2"/>
      <w:numFmt w:val="bullet"/>
      <w:lvlText w:val="-"/>
      <w:lvlJc w:val="left"/>
      <w:pPr>
        <w:ind w:left="5807" w:hanging="420"/>
      </w:pPr>
      <w:rPr>
        <w:rFonts w:ascii="Arial" w:eastAsia="PMingLiU" w:hAnsi="Arial" w:cs="Arial" w:hint="default"/>
      </w:rPr>
    </w:lvl>
    <w:lvl w:ilvl="1" w:tplc="04090003" w:tentative="1">
      <w:start w:val="1"/>
      <w:numFmt w:val="bullet"/>
      <w:lvlText w:val=""/>
      <w:lvlJc w:val="left"/>
      <w:pPr>
        <w:ind w:left="6227" w:hanging="420"/>
      </w:pPr>
      <w:rPr>
        <w:rFonts w:ascii="Wingdings" w:hAnsi="Wingdings" w:hint="default"/>
      </w:rPr>
    </w:lvl>
    <w:lvl w:ilvl="2" w:tplc="04090005" w:tentative="1">
      <w:start w:val="1"/>
      <w:numFmt w:val="bullet"/>
      <w:lvlText w:val=""/>
      <w:lvlJc w:val="left"/>
      <w:pPr>
        <w:ind w:left="6647" w:hanging="420"/>
      </w:pPr>
      <w:rPr>
        <w:rFonts w:ascii="Wingdings" w:hAnsi="Wingdings" w:hint="default"/>
      </w:rPr>
    </w:lvl>
    <w:lvl w:ilvl="3" w:tplc="04090001" w:tentative="1">
      <w:start w:val="1"/>
      <w:numFmt w:val="bullet"/>
      <w:lvlText w:val=""/>
      <w:lvlJc w:val="left"/>
      <w:pPr>
        <w:ind w:left="7067" w:hanging="420"/>
      </w:pPr>
      <w:rPr>
        <w:rFonts w:ascii="Wingdings" w:hAnsi="Wingdings" w:hint="default"/>
      </w:rPr>
    </w:lvl>
    <w:lvl w:ilvl="4" w:tplc="04090003" w:tentative="1">
      <w:start w:val="1"/>
      <w:numFmt w:val="bullet"/>
      <w:lvlText w:val=""/>
      <w:lvlJc w:val="left"/>
      <w:pPr>
        <w:ind w:left="7487" w:hanging="420"/>
      </w:pPr>
      <w:rPr>
        <w:rFonts w:ascii="Wingdings" w:hAnsi="Wingdings" w:hint="default"/>
      </w:rPr>
    </w:lvl>
    <w:lvl w:ilvl="5" w:tplc="04090005" w:tentative="1">
      <w:start w:val="1"/>
      <w:numFmt w:val="bullet"/>
      <w:lvlText w:val=""/>
      <w:lvlJc w:val="left"/>
      <w:pPr>
        <w:ind w:left="7907" w:hanging="420"/>
      </w:pPr>
      <w:rPr>
        <w:rFonts w:ascii="Wingdings" w:hAnsi="Wingdings" w:hint="default"/>
      </w:rPr>
    </w:lvl>
    <w:lvl w:ilvl="6" w:tplc="04090001" w:tentative="1">
      <w:start w:val="1"/>
      <w:numFmt w:val="bullet"/>
      <w:lvlText w:val=""/>
      <w:lvlJc w:val="left"/>
      <w:pPr>
        <w:ind w:left="8327" w:hanging="420"/>
      </w:pPr>
      <w:rPr>
        <w:rFonts w:ascii="Wingdings" w:hAnsi="Wingdings" w:hint="default"/>
      </w:rPr>
    </w:lvl>
    <w:lvl w:ilvl="7" w:tplc="04090003" w:tentative="1">
      <w:start w:val="1"/>
      <w:numFmt w:val="bullet"/>
      <w:lvlText w:val=""/>
      <w:lvlJc w:val="left"/>
      <w:pPr>
        <w:ind w:left="8747" w:hanging="420"/>
      </w:pPr>
      <w:rPr>
        <w:rFonts w:ascii="Wingdings" w:hAnsi="Wingdings" w:hint="default"/>
      </w:rPr>
    </w:lvl>
    <w:lvl w:ilvl="8" w:tplc="04090005" w:tentative="1">
      <w:start w:val="1"/>
      <w:numFmt w:val="bullet"/>
      <w:lvlText w:val=""/>
      <w:lvlJc w:val="left"/>
      <w:pPr>
        <w:ind w:left="9167" w:hanging="420"/>
      </w:pPr>
      <w:rPr>
        <w:rFonts w:ascii="Wingdings" w:hAnsi="Wingdings" w:hint="default"/>
      </w:rPr>
    </w:lvl>
  </w:abstractNum>
  <w:abstractNum w:abstractNumId="1" w15:restartNumberingAfterBreak="0">
    <w:nsid w:val="079464C9"/>
    <w:multiLevelType w:val="hybridMultilevel"/>
    <w:tmpl w:val="8B6C451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846AA7"/>
    <w:multiLevelType w:val="hybridMultilevel"/>
    <w:tmpl w:val="88140B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F15917"/>
    <w:multiLevelType w:val="hybridMultilevel"/>
    <w:tmpl w:val="0A4EC222"/>
    <w:lvl w:ilvl="0" w:tplc="0406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082BA0"/>
    <w:multiLevelType w:val="multilevel"/>
    <w:tmpl w:val="5B289270"/>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 w15:restartNumberingAfterBreak="0">
    <w:nsid w:val="16916887"/>
    <w:multiLevelType w:val="hybridMultilevel"/>
    <w:tmpl w:val="407E7DD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AEA4B33"/>
    <w:multiLevelType w:val="hybridMultilevel"/>
    <w:tmpl w:val="7654F06E"/>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7F28C0"/>
    <w:multiLevelType w:val="hybridMultilevel"/>
    <w:tmpl w:val="1DC80282"/>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D25A7"/>
    <w:multiLevelType w:val="hybridMultilevel"/>
    <w:tmpl w:val="6E2642C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4255129"/>
    <w:multiLevelType w:val="hybridMultilevel"/>
    <w:tmpl w:val="D0B8C19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A71ECF"/>
    <w:multiLevelType w:val="hybridMultilevel"/>
    <w:tmpl w:val="1D0A4A2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C9873EE"/>
    <w:multiLevelType w:val="hybridMultilevel"/>
    <w:tmpl w:val="611E4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31570278"/>
    <w:multiLevelType w:val="hybridMultilevel"/>
    <w:tmpl w:val="B1940B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33525C"/>
    <w:multiLevelType w:val="multilevel"/>
    <w:tmpl w:val="2022FA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0"/>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5B946BC"/>
    <w:multiLevelType w:val="hybridMultilevel"/>
    <w:tmpl w:val="9DF2F654"/>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C013700"/>
    <w:multiLevelType w:val="hybridMultilevel"/>
    <w:tmpl w:val="72C0C58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C292AD0"/>
    <w:multiLevelType w:val="hybridMultilevel"/>
    <w:tmpl w:val="EC6C6DCA"/>
    <w:lvl w:ilvl="0" w:tplc="549A16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D7D0BD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DD413BB"/>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352DF8"/>
    <w:multiLevelType w:val="hybridMultilevel"/>
    <w:tmpl w:val="768E901A"/>
    <w:lvl w:ilvl="0" w:tplc="04090011">
      <w:start w:val="1"/>
      <w:numFmt w:val="decimal"/>
      <w:lvlText w:val="%1)"/>
      <w:lvlJc w:val="left"/>
      <w:pPr>
        <w:ind w:left="420" w:hanging="420"/>
      </w:pPr>
      <w:rPr>
        <w:rFonts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3791472"/>
    <w:multiLevelType w:val="multilevel"/>
    <w:tmpl w:val="3B3239E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3995636"/>
    <w:multiLevelType w:val="hybridMultilevel"/>
    <w:tmpl w:val="1C124A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2B0F55"/>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5635BD"/>
    <w:multiLevelType w:val="hybridMultilevel"/>
    <w:tmpl w:val="C4E4051C"/>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AAD737E"/>
    <w:multiLevelType w:val="hybridMultilevel"/>
    <w:tmpl w:val="620E40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B192853"/>
    <w:multiLevelType w:val="hybridMultilevel"/>
    <w:tmpl w:val="8A86BFF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E6C2503"/>
    <w:multiLevelType w:val="hybridMultilevel"/>
    <w:tmpl w:val="3B2EE0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665EB3"/>
    <w:multiLevelType w:val="hybridMultilevel"/>
    <w:tmpl w:val="AAC86AC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BF21C0"/>
    <w:multiLevelType w:val="hybridMultilevel"/>
    <w:tmpl w:val="E5129AC8"/>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B655555"/>
    <w:multiLevelType w:val="hybridMultilevel"/>
    <w:tmpl w:val="C96CAF50"/>
    <w:lvl w:ilvl="0" w:tplc="5DD674C4">
      <w:start w:val="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C320AAE"/>
    <w:multiLevelType w:val="hybridMultilevel"/>
    <w:tmpl w:val="BA9A41F8"/>
    <w:lvl w:ilvl="0" w:tplc="BDE6BA00">
      <w:numFmt w:val="bullet"/>
      <w:lvlText w:val="•"/>
      <w:lvlJc w:val="left"/>
      <w:pPr>
        <w:ind w:left="420" w:hanging="420"/>
      </w:pPr>
      <w:rPr>
        <w:rFonts w:ascii="宋体" w:eastAsia="宋体" w:hAnsi="宋体" w:hint="eastAsia"/>
        <w:spacing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0F4BDE"/>
    <w:multiLevelType w:val="multilevel"/>
    <w:tmpl w:val="8BC0E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54D65F0"/>
    <w:multiLevelType w:val="hybridMultilevel"/>
    <w:tmpl w:val="CE02CD52"/>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B3C12C1"/>
    <w:multiLevelType w:val="hybridMultilevel"/>
    <w:tmpl w:val="78CC98D2"/>
    <w:lvl w:ilvl="0" w:tplc="58E6E9BC">
      <w:start w:val="2"/>
      <w:numFmt w:val="bullet"/>
      <w:lvlText w:val="-"/>
      <w:lvlJc w:val="left"/>
      <w:pPr>
        <w:ind w:left="420" w:hanging="420"/>
      </w:pPr>
      <w:rPr>
        <w:rFonts w:ascii="Arial" w:eastAsia="PMingLiU"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14"/>
  </w:num>
  <w:num w:numId="3">
    <w:abstractNumId w:val="4"/>
  </w:num>
  <w:num w:numId="4">
    <w:abstractNumId w:val="6"/>
  </w:num>
  <w:num w:numId="5">
    <w:abstractNumId w:val="11"/>
  </w:num>
  <w:num w:numId="6">
    <w:abstractNumId w:val="30"/>
  </w:num>
  <w:num w:numId="7">
    <w:abstractNumId w:val="31"/>
  </w:num>
  <w:num w:numId="8">
    <w:abstractNumId w:val="29"/>
  </w:num>
  <w:num w:numId="9">
    <w:abstractNumId w:val="13"/>
  </w:num>
  <w:num w:numId="10">
    <w:abstractNumId w:val="26"/>
  </w:num>
  <w:num w:numId="11">
    <w:abstractNumId w:val="19"/>
  </w:num>
  <w:num w:numId="12">
    <w:abstractNumId w:val="3"/>
  </w:num>
  <w:num w:numId="13">
    <w:abstractNumId w:val="9"/>
  </w:num>
  <w:num w:numId="14">
    <w:abstractNumId w:val="35"/>
  </w:num>
  <w:num w:numId="15">
    <w:abstractNumId w:val="0"/>
  </w:num>
  <w:num w:numId="16">
    <w:abstractNumId w:val="33"/>
  </w:num>
  <w:num w:numId="17">
    <w:abstractNumId w:val="2"/>
  </w:num>
  <w:num w:numId="18">
    <w:abstractNumId w:val="12"/>
  </w:num>
  <w:num w:numId="19">
    <w:abstractNumId w:val="8"/>
  </w:num>
  <w:num w:numId="20">
    <w:abstractNumId w:val="17"/>
  </w:num>
  <w:num w:numId="21">
    <w:abstractNumId w:val="10"/>
  </w:num>
  <w:num w:numId="22">
    <w:abstractNumId w:val="16"/>
  </w:num>
  <w:num w:numId="23">
    <w:abstractNumId w:val="22"/>
  </w:num>
  <w:num w:numId="24">
    <w:abstractNumId w:val="15"/>
  </w:num>
  <w:num w:numId="25">
    <w:abstractNumId w:val="21"/>
  </w:num>
  <w:num w:numId="26">
    <w:abstractNumId w:val="20"/>
  </w:num>
  <w:num w:numId="27">
    <w:abstractNumId w:val="7"/>
  </w:num>
  <w:num w:numId="28">
    <w:abstractNumId w:val="23"/>
  </w:num>
  <w:num w:numId="29">
    <w:abstractNumId w:val="25"/>
  </w:num>
  <w:num w:numId="30">
    <w:abstractNumId w:val="5"/>
  </w:num>
  <w:num w:numId="31">
    <w:abstractNumId w:val="27"/>
  </w:num>
  <w:num w:numId="32">
    <w:abstractNumId w:val="28"/>
  </w:num>
  <w:num w:numId="33">
    <w:abstractNumId w:val="32"/>
  </w:num>
  <w:num w:numId="34">
    <w:abstractNumId w:val="24"/>
  </w:num>
  <w:num w:numId="35">
    <w:abstractNumId w:val="1"/>
  </w:num>
  <w:num w:numId="36">
    <w:abstractNumId w:val="3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B81"/>
    <w:rsid w:val="00000B89"/>
    <w:rsid w:val="00010C41"/>
    <w:rsid w:val="000110FC"/>
    <w:rsid w:val="000152CF"/>
    <w:rsid w:val="00017BA2"/>
    <w:rsid w:val="0002304C"/>
    <w:rsid w:val="00024845"/>
    <w:rsid w:val="000250B4"/>
    <w:rsid w:val="0002524B"/>
    <w:rsid w:val="00025580"/>
    <w:rsid w:val="000260D0"/>
    <w:rsid w:val="00030C1E"/>
    <w:rsid w:val="000321ED"/>
    <w:rsid w:val="00032276"/>
    <w:rsid w:val="0003252A"/>
    <w:rsid w:val="00033A0B"/>
    <w:rsid w:val="00041A7E"/>
    <w:rsid w:val="000423B4"/>
    <w:rsid w:val="000430DA"/>
    <w:rsid w:val="000431EB"/>
    <w:rsid w:val="000461CD"/>
    <w:rsid w:val="00046313"/>
    <w:rsid w:val="00046C8B"/>
    <w:rsid w:val="00046D6B"/>
    <w:rsid w:val="00047006"/>
    <w:rsid w:val="00047A6C"/>
    <w:rsid w:val="00047E1D"/>
    <w:rsid w:val="00050B67"/>
    <w:rsid w:val="0005494E"/>
    <w:rsid w:val="00054CB1"/>
    <w:rsid w:val="00054E2B"/>
    <w:rsid w:val="00054F6E"/>
    <w:rsid w:val="00055E25"/>
    <w:rsid w:val="00056A75"/>
    <w:rsid w:val="00060A7F"/>
    <w:rsid w:val="0006123A"/>
    <w:rsid w:val="00061B00"/>
    <w:rsid w:val="00062841"/>
    <w:rsid w:val="000650CB"/>
    <w:rsid w:val="0006693E"/>
    <w:rsid w:val="00067814"/>
    <w:rsid w:val="00067D3A"/>
    <w:rsid w:val="00067F52"/>
    <w:rsid w:val="00071020"/>
    <w:rsid w:val="000723C1"/>
    <w:rsid w:val="00072962"/>
    <w:rsid w:val="0007367D"/>
    <w:rsid w:val="00073839"/>
    <w:rsid w:val="00073E50"/>
    <w:rsid w:val="00077128"/>
    <w:rsid w:val="0007754D"/>
    <w:rsid w:val="000803B6"/>
    <w:rsid w:val="00082F43"/>
    <w:rsid w:val="0008390E"/>
    <w:rsid w:val="0009058C"/>
    <w:rsid w:val="000906B6"/>
    <w:rsid w:val="00091989"/>
    <w:rsid w:val="00091C18"/>
    <w:rsid w:val="00091C77"/>
    <w:rsid w:val="00095995"/>
    <w:rsid w:val="00095AC3"/>
    <w:rsid w:val="00095EBA"/>
    <w:rsid w:val="00096142"/>
    <w:rsid w:val="000A088E"/>
    <w:rsid w:val="000A120D"/>
    <w:rsid w:val="000A1A1B"/>
    <w:rsid w:val="000A1B7A"/>
    <w:rsid w:val="000A2577"/>
    <w:rsid w:val="000A2E6A"/>
    <w:rsid w:val="000A3782"/>
    <w:rsid w:val="000A5578"/>
    <w:rsid w:val="000B0405"/>
    <w:rsid w:val="000B0E56"/>
    <w:rsid w:val="000B1D11"/>
    <w:rsid w:val="000B5507"/>
    <w:rsid w:val="000B6E18"/>
    <w:rsid w:val="000B7156"/>
    <w:rsid w:val="000C077A"/>
    <w:rsid w:val="000C25F5"/>
    <w:rsid w:val="000C347C"/>
    <w:rsid w:val="000C60CA"/>
    <w:rsid w:val="000C6803"/>
    <w:rsid w:val="000D037C"/>
    <w:rsid w:val="000D0749"/>
    <w:rsid w:val="000D1E9C"/>
    <w:rsid w:val="000D2C8A"/>
    <w:rsid w:val="000D3592"/>
    <w:rsid w:val="000D3B4A"/>
    <w:rsid w:val="000D5C73"/>
    <w:rsid w:val="000D7357"/>
    <w:rsid w:val="000E0186"/>
    <w:rsid w:val="000E31AB"/>
    <w:rsid w:val="000E4061"/>
    <w:rsid w:val="000E4EEC"/>
    <w:rsid w:val="000E7788"/>
    <w:rsid w:val="000F0101"/>
    <w:rsid w:val="000F0A9E"/>
    <w:rsid w:val="000F2FF2"/>
    <w:rsid w:val="000F3460"/>
    <w:rsid w:val="000F41BC"/>
    <w:rsid w:val="000F42CC"/>
    <w:rsid w:val="000F6BE5"/>
    <w:rsid w:val="000F7CE2"/>
    <w:rsid w:val="000F7DB2"/>
    <w:rsid w:val="0010232E"/>
    <w:rsid w:val="00103A82"/>
    <w:rsid w:val="001059BD"/>
    <w:rsid w:val="00105A65"/>
    <w:rsid w:val="00106D2E"/>
    <w:rsid w:val="0010706A"/>
    <w:rsid w:val="00107386"/>
    <w:rsid w:val="001076AD"/>
    <w:rsid w:val="00110245"/>
    <w:rsid w:val="0011240F"/>
    <w:rsid w:val="001138D1"/>
    <w:rsid w:val="00113CF1"/>
    <w:rsid w:val="00114721"/>
    <w:rsid w:val="00115ED9"/>
    <w:rsid w:val="00115FEE"/>
    <w:rsid w:val="00121205"/>
    <w:rsid w:val="0012179E"/>
    <w:rsid w:val="0012206D"/>
    <w:rsid w:val="001251F9"/>
    <w:rsid w:val="00125A3A"/>
    <w:rsid w:val="00131271"/>
    <w:rsid w:val="00132480"/>
    <w:rsid w:val="00132C00"/>
    <w:rsid w:val="00133673"/>
    <w:rsid w:val="00135F5A"/>
    <w:rsid w:val="00137D08"/>
    <w:rsid w:val="00143592"/>
    <w:rsid w:val="00143A95"/>
    <w:rsid w:val="00143FA4"/>
    <w:rsid w:val="001441E3"/>
    <w:rsid w:val="0014421A"/>
    <w:rsid w:val="00144415"/>
    <w:rsid w:val="00144530"/>
    <w:rsid w:val="001450F4"/>
    <w:rsid w:val="00145BC3"/>
    <w:rsid w:val="00147C31"/>
    <w:rsid w:val="00150A18"/>
    <w:rsid w:val="00150B68"/>
    <w:rsid w:val="00151BF8"/>
    <w:rsid w:val="00152023"/>
    <w:rsid w:val="00152367"/>
    <w:rsid w:val="00153F66"/>
    <w:rsid w:val="00154399"/>
    <w:rsid w:val="00162450"/>
    <w:rsid w:val="00162838"/>
    <w:rsid w:val="0016469F"/>
    <w:rsid w:val="0016577C"/>
    <w:rsid w:val="001657E4"/>
    <w:rsid w:val="00166F33"/>
    <w:rsid w:val="0016722F"/>
    <w:rsid w:val="00170096"/>
    <w:rsid w:val="001718D6"/>
    <w:rsid w:val="00172735"/>
    <w:rsid w:val="0017377B"/>
    <w:rsid w:val="00174133"/>
    <w:rsid w:val="00175FD8"/>
    <w:rsid w:val="0017648B"/>
    <w:rsid w:val="0017765E"/>
    <w:rsid w:val="0018366B"/>
    <w:rsid w:val="0018614D"/>
    <w:rsid w:val="00190C62"/>
    <w:rsid w:val="00191473"/>
    <w:rsid w:val="00191666"/>
    <w:rsid w:val="00192443"/>
    <w:rsid w:val="00192E69"/>
    <w:rsid w:val="00193E83"/>
    <w:rsid w:val="00195D76"/>
    <w:rsid w:val="00196368"/>
    <w:rsid w:val="001A015E"/>
    <w:rsid w:val="001A09D1"/>
    <w:rsid w:val="001A3502"/>
    <w:rsid w:val="001A66B0"/>
    <w:rsid w:val="001A6B34"/>
    <w:rsid w:val="001A6DB5"/>
    <w:rsid w:val="001B0179"/>
    <w:rsid w:val="001B0F28"/>
    <w:rsid w:val="001B1C2E"/>
    <w:rsid w:val="001B2A44"/>
    <w:rsid w:val="001B3ADB"/>
    <w:rsid w:val="001B7B13"/>
    <w:rsid w:val="001C082E"/>
    <w:rsid w:val="001C1AE0"/>
    <w:rsid w:val="001C6439"/>
    <w:rsid w:val="001C6C55"/>
    <w:rsid w:val="001C7C63"/>
    <w:rsid w:val="001D08D8"/>
    <w:rsid w:val="001D0EBA"/>
    <w:rsid w:val="001D1B3E"/>
    <w:rsid w:val="001D1D4E"/>
    <w:rsid w:val="001D27A9"/>
    <w:rsid w:val="001D3141"/>
    <w:rsid w:val="001D3AAB"/>
    <w:rsid w:val="001E2612"/>
    <w:rsid w:val="001E37DB"/>
    <w:rsid w:val="001E3BAD"/>
    <w:rsid w:val="001E51B9"/>
    <w:rsid w:val="001E5366"/>
    <w:rsid w:val="001E735C"/>
    <w:rsid w:val="001E7AC7"/>
    <w:rsid w:val="001F2744"/>
    <w:rsid w:val="001F27A7"/>
    <w:rsid w:val="001F2D34"/>
    <w:rsid w:val="001F31AB"/>
    <w:rsid w:val="001F6575"/>
    <w:rsid w:val="001F66C1"/>
    <w:rsid w:val="001F67BF"/>
    <w:rsid w:val="001F68D2"/>
    <w:rsid w:val="0020035C"/>
    <w:rsid w:val="002019BC"/>
    <w:rsid w:val="002022AA"/>
    <w:rsid w:val="0020322E"/>
    <w:rsid w:val="00203298"/>
    <w:rsid w:val="00205557"/>
    <w:rsid w:val="002057C0"/>
    <w:rsid w:val="0020663A"/>
    <w:rsid w:val="002076BB"/>
    <w:rsid w:val="00207852"/>
    <w:rsid w:val="00207C79"/>
    <w:rsid w:val="00210EA4"/>
    <w:rsid w:val="00211D56"/>
    <w:rsid w:val="0021226B"/>
    <w:rsid w:val="002127FE"/>
    <w:rsid w:val="00212CFD"/>
    <w:rsid w:val="00215E89"/>
    <w:rsid w:val="00221E12"/>
    <w:rsid w:val="002249B0"/>
    <w:rsid w:val="0022523F"/>
    <w:rsid w:val="002263AB"/>
    <w:rsid w:val="00227241"/>
    <w:rsid w:val="002337FA"/>
    <w:rsid w:val="00233C6E"/>
    <w:rsid w:val="002346E3"/>
    <w:rsid w:val="002356DC"/>
    <w:rsid w:val="00237455"/>
    <w:rsid w:val="0023749F"/>
    <w:rsid w:val="00241124"/>
    <w:rsid w:val="00241230"/>
    <w:rsid w:val="00245476"/>
    <w:rsid w:val="00245B2A"/>
    <w:rsid w:val="00250467"/>
    <w:rsid w:val="0025075E"/>
    <w:rsid w:val="002517B6"/>
    <w:rsid w:val="00252AB0"/>
    <w:rsid w:val="00254E64"/>
    <w:rsid w:val="00256234"/>
    <w:rsid w:val="0025651D"/>
    <w:rsid w:val="00257A0A"/>
    <w:rsid w:val="00257A4E"/>
    <w:rsid w:val="0026054B"/>
    <w:rsid w:val="002615A2"/>
    <w:rsid w:val="002621A3"/>
    <w:rsid w:val="00263555"/>
    <w:rsid w:val="002635AE"/>
    <w:rsid w:val="00264AA6"/>
    <w:rsid w:val="002700DC"/>
    <w:rsid w:val="00270A85"/>
    <w:rsid w:val="00272FDA"/>
    <w:rsid w:val="00274D8A"/>
    <w:rsid w:val="00275A2E"/>
    <w:rsid w:val="00276353"/>
    <w:rsid w:val="002765AC"/>
    <w:rsid w:val="00282486"/>
    <w:rsid w:val="002829EE"/>
    <w:rsid w:val="00282B93"/>
    <w:rsid w:val="00282FAC"/>
    <w:rsid w:val="00283E92"/>
    <w:rsid w:val="002844E1"/>
    <w:rsid w:val="002845FA"/>
    <w:rsid w:val="00284DD1"/>
    <w:rsid w:val="00291238"/>
    <w:rsid w:val="002959B8"/>
    <w:rsid w:val="002A057A"/>
    <w:rsid w:val="002A05F4"/>
    <w:rsid w:val="002A0725"/>
    <w:rsid w:val="002A0B66"/>
    <w:rsid w:val="002A11D3"/>
    <w:rsid w:val="002A24B0"/>
    <w:rsid w:val="002A2BE2"/>
    <w:rsid w:val="002A385C"/>
    <w:rsid w:val="002A3E16"/>
    <w:rsid w:val="002A3E23"/>
    <w:rsid w:val="002A420A"/>
    <w:rsid w:val="002A4BCE"/>
    <w:rsid w:val="002A5E60"/>
    <w:rsid w:val="002A6668"/>
    <w:rsid w:val="002B10E3"/>
    <w:rsid w:val="002B1BFD"/>
    <w:rsid w:val="002B2955"/>
    <w:rsid w:val="002B3F87"/>
    <w:rsid w:val="002B43AB"/>
    <w:rsid w:val="002B4403"/>
    <w:rsid w:val="002B7483"/>
    <w:rsid w:val="002C0374"/>
    <w:rsid w:val="002C1C33"/>
    <w:rsid w:val="002C2E2C"/>
    <w:rsid w:val="002C3AEB"/>
    <w:rsid w:val="002C4B88"/>
    <w:rsid w:val="002D4B72"/>
    <w:rsid w:val="002D5430"/>
    <w:rsid w:val="002D60A2"/>
    <w:rsid w:val="002D67EC"/>
    <w:rsid w:val="002D7717"/>
    <w:rsid w:val="002E1476"/>
    <w:rsid w:val="002E2108"/>
    <w:rsid w:val="002E25AC"/>
    <w:rsid w:val="002E266A"/>
    <w:rsid w:val="002E2C64"/>
    <w:rsid w:val="002E3B0A"/>
    <w:rsid w:val="002E41BF"/>
    <w:rsid w:val="002E55D0"/>
    <w:rsid w:val="002E76AA"/>
    <w:rsid w:val="002F16B1"/>
    <w:rsid w:val="002F2363"/>
    <w:rsid w:val="002F2B4C"/>
    <w:rsid w:val="002F5DBC"/>
    <w:rsid w:val="002F604F"/>
    <w:rsid w:val="0030041C"/>
    <w:rsid w:val="00300A40"/>
    <w:rsid w:val="003015B1"/>
    <w:rsid w:val="003028DE"/>
    <w:rsid w:val="00302DCB"/>
    <w:rsid w:val="00304623"/>
    <w:rsid w:val="00306125"/>
    <w:rsid w:val="003061EB"/>
    <w:rsid w:val="00306559"/>
    <w:rsid w:val="00306BA8"/>
    <w:rsid w:val="00311BA6"/>
    <w:rsid w:val="0031212E"/>
    <w:rsid w:val="003132E5"/>
    <w:rsid w:val="00314320"/>
    <w:rsid w:val="003159A1"/>
    <w:rsid w:val="00316810"/>
    <w:rsid w:val="00317ADE"/>
    <w:rsid w:val="00317B51"/>
    <w:rsid w:val="00320623"/>
    <w:rsid w:val="003214E1"/>
    <w:rsid w:val="00322466"/>
    <w:rsid w:val="0032438F"/>
    <w:rsid w:val="00324AE9"/>
    <w:rsid w:val="00325275"/>
    <w:rsid w:val="00327638"/>
    <w:rsid w:val="0033372C"/>
    <w:rsid w:val="00333884"/>
    <w:rsid w:val="00333AB8"/>
    <w:rsid w:val="00334356"/>
    <w:rsid w:val="0033549E"/>
    <w:rsid w:val="0033573D"/>
    <w:rsid w:val="0033614E"/>
    <w:rsid w:val="00336959"/>
    <w:rsid w:val="00336ED6"/>
    <w:rsid w:val="00340514"/>
    <w:rsid w:val="00340644"/>
    <w:rsid w:val="00340774"/>
    <w:rsid w:val="003416B8"/>
    <w:rsid w:val="00341E6C"/>
    <w:rsid w:val="003442DE"/>
    <w:rsid w:val="003442EE"/>
    <w:rsid w:val="0034460B"/>
    <w:rsid w:val="00344D24"/>
    <w:rsid w:val="00345B39"/>
    <w:rsid w:val="00346A77"/>
    <w:rsid w:val="00347747"/>
    <w:rsid w:val="00347B45"/>
    <w:rsid w:val="0035195B"/>
    <w:rsid w:val="003550ED"/>
    <w:rsid w:val="00355B6D"/>
    <w:rsid w:val="00356FD8"/>
    <w:rsid w:val="00361C22"/>
    <w:rsid w:val="00361F4E"/>
    <w:rsid w:val="00362577"/>
    <w:rsid w:val="003645CD"/>
    <w:rsid w:val="003654AA"/>
    <w:rsid w:val="003674C6"/>
    <w:rsid w:val="003677EA"/>
    <w:rsid w:val="00370991"/>
    <w:rsid w:val="0037135F"/>
    <w:rsid w:val="00374361"/>
    <w:rsid w:val="003749ED"/>
    <w:rsid w:val="00375689"/>
    <w:rsid w:val="00376922"/>
    <w:rsid w:val="0037739C"/>
    <w:rsid w:val="0037777E"/>
    <w:rsid w:val="003778D5"/>
    <w:rsid w:val="00377D62"/>
    <w:rsid w:val="00381C42"/>
    <w:rsid w:val="00382D6A"/>
    <w:rsid w:val="003834D2"/>
    <w:rsid w:val="00390079"/>
    <w:rsid w:val="003902DF"/>
    <w:rsid w:val="00390A93"/>
    <w:rsid w:val="00391653"/>
    <w:rsid w:val="00393708"/>
    <w:rsid w:val="003A123D"/>
    <w:rsid w:val="003A19F3"/>
    <w:rsid w:val="003A1B43"/>
    <w:rsid w:val="003A2290"/>
    <w:rsid w:val="003A27FD"/>
    <w:rsid w:val="003A3877"/>
    <w:rsid w:val="003A3A07"/>
    <w:rsid w:val="003A3E66"/>
    <w:rsid w:val="003A5B2D"/>
    <w:rsid w:val="003A609E"/>
    <w:rsid w:val="003A673B"/>
    <w:rsid w:val="003A6B54"/>
    <w:rsid w:val="003B0257"/>
    <w:rsid w:val="003B0384"/>
    <w:rsid w:val="003B0538"/>
    <w:rsid w:val="003B06F8"/>
    <w:rsid w:val="003B0FA5"/>
    <w:rsid w:val="003B2616"/>
    <w:rsid w:val="003B42D3"/>
    <w:rsid w:val="003B60D9"/>
    <w:rsid w:val="003B6DB7"/>
    <w:rsid w:val="003C1F0D"/>
    <w:rsid w:val="003C45EF"/>
    <w:rsid w:val="003C49D2"/>
    <w:rsid w:val="003C4B21"/>
    <w:rsid w:val="003C5813"/>
    <w:rsid w:val="003C6159"/>
    <w:rsid w:val="003C661B"/>
    <w:rsid w:val="003D0DFF"/>
    <w:rsid w:val="003D1C4D"/>
    <w:rsid w:val="003D39EE"/>
    <w:rsid w:val="003D4164"/>
    <w:rsid w:val="003D4528"/>
    <w:rsid w:val="003D5AD8"/>
    <w:rsid w:val="003D7E8D"/>
    <w:rsid w:val="003E1301"/>
    <w:rsid w:val="003E5AA0"/>
    <w:rsid w:val="003E5F2C"/>
    <w:rsid w:val="003E6C94"/>
    <w:rsid w:val="003F0516"/>
    <w:rsid w:val="003F1240"/>
    <w:rsid w:val="003F15AF"/>
    <w:rsid w:val="003F37E5"/>
    <w:rsid w:val="003F67A1"/>
    <w:rsid w:val="003F7305"/>
    <w:rsid w:val="00401264"/>
    <w:rsid w:val="0040387B"/>
    <w:rsid w:val="0040457B"/>
    <w:rsid w:val="0040499F"/>
    <w:rsid w:val="00407528"/>
    <w:rsid w:val="00411DB7"/>
    <w:rsid w:val="0041213B"/>
    <w:rsid w:val="004127A8"/>
    <w:rsid w:val="00412B9B"/>
    <w:rsid w:val="00412F37"/>
    <w:rsid w:val="00413B78"/>
    <w:rsid w:val="00413FD9"/>
    <w:rsid w:val="00414873"/>
    <w:rsid w:val="0041565F"/>
    <w:rsid w:val="00415C3D"/>
    <w:rsid w:val="0042019E"/>
    <w:rsid w:val="00421684"/>
    <w:rsid w:val="0042180A"/>
    <w:rsid w:val="00423AEC"/>
    <w:rsid w:val="00423D25"/>
    <w:rsid w:val="004244B5"/>
    <w:rsid w:val="004250C0"/>
    <w:rsid w:val="004252F9"/>
    <w:rsid w:val="00425B4F"/>
    <w:rsid w:val="004263A8"/>
    <w:rsid w:val="004307C8"/>
    <w:rsid w:val="00432B57"/>
    <w:rsid w:val="00432EF3"/>
    <w:rsid w:val="00433CF0"/>
    <w:rsid w:val="00434A52"/>
    <w:rsid w:val="00435CA7"/>
    <w:rsid w:val="00437FB2"/>
    <w:rsid w:val="00437FB3"/>
    <w:rsid w:val="00440EFE"/>
    <w:rsid w:val="00441C65"/>
    <w:rsid w:val="00442F6D"/>
    <w:rsid w:val="00450E67"/>
    <w:rsid w:val="00451A30"/>
    <w:rsid w:val="00451F61"/>
    <w:rsid w:val="004546D9"/>
    <w:rsid w:val="004553EB"/>
    <w:rsid w:val="004560B5"/>
    <w:rsid w:val="00460416"/>
    <w:rsid w:val="00460630"/>
    <w:rsid w:val="0046094D"/>
    <w:rsid w:val="00461E46"/>
    <w:rsid w:val="00461F18"/>
    <w:rsid w:val="004621B8"/>
    <w:rsid w:val="00462410"/>
    <w:rsid w:val="004637B3"/>
    <w:rsid w:val="0046392A"/>
    <w:rsid w:val="00464E25"/>
    <w:rsid w:val="004661B9"/>
    <w:rsid w:val="00466FAF"/>
    <w:rsid w:val="004672F7"/>
    <w:rsid w:val="00467483"/>
    <w:rsid w:val="00467E37"/>
    <w:rsid w:val="00471A7D"/>
    <w:rsid w:val="00472485"/>
    <w:rsid w:val="0047305C"/>
    <w:rsid w:val="00473673"/>
    <w:rsid w:val="004756E8"/>
    <w:rsid w:val="0047571D"/>
    <w:rsid w:val="004763E6"/>
    <w:rsid w:val="00477E73"/>
    <w:rsid w:val="004806FA"/>
    <w:rsid w:val="00482515"/>
    <w:rsid w:val="00483AED"/>
    <w:rsid w:val="004851B2"/>
    <w:rsid w:val="00486543"/>
    <w:rsid w:val="00493066"/>
    <w:rsid w:val="00493093"/>
    <w:rsid w:val="004933BF"/>
    <w:rsid w:val="004941A1"/>
    <w:rsid w:val="00494403"/>
    <w:rsid w:val="00494807"/>
    <w:rsid w:val="00495931"/>
    <w:rsid w:val="00496104"/>
    <w:rsid w:val="0049652C"/>
    <w:rsid w:val="00496C36"/>
    <w:rsid w:val="004A0249"/>
    <w:rsid w:val="004A0CAB"/>
    <w:rsid w:val="004A1D71"/>
    <w:rsid w:val="004A3648"/>
    <w:rsid w:val="004A437B"/>
    <w:rsid w:val="004A497A"/>
    <w:rsid w:val="004A5258"/>
    <w:rsid w:val="004A71B6"/>
    <w:rsid w:val="004A7A0D"/>
    <w:rsid w:val="004B108D"/>
    <w:rsid w:val="004B3B07"/>
    <w:rsid w:val="004B43B2"/>
    <w:rsid w:val="004B4E9D"/>
    <w:rsid w:val="004B5F4F"/>
    <w:rsid w:val="004B6BB7"/>
    <w:rsid w:val="004B6C99"/>
    <w:rsid w:val="004B6ED2"/>
    <w:rsid w:val="004B7349"/>
    <w:rsid w:val="004C161D"/>
    <w:rsid w:val="004C30EE"/>
    <w:rsid w:val="004C71F9"/>
    <w:rsid w:val="004D2550"/>
    <w:rsid w:val="004D26EF"/>
    <w:rsid w:val="004D418F"/>
    <w:rsid w:val="004D4CD8"/>
    <w:rsid w:val="004D6F70"/>
    <w:rsid w:val="004D7FB6"/>
    <w:rsid w:val="004E0467"/>
    <w:rsid w:val="004E1D6C"/>
    <w:rsid w:val="004E239C"/>
    <w:rsid w:val="004E2E0D"/>
    <w:rsid w:val="004E3BD7"/>
    <w:rsid w:val="004E4F49"/>
    <w:rsid w:val="004E591B"/>
    <w:rsid w:val="004F00C7"/>
    <w:rsid w:val="004F1213"/>
    <w:rsid w:val="004F15F3"/>
    <w:rsid w:val="004F16D7"/>
    <w:rsid w:val="004F269A"/>
    <w:rsid w:val="004F34E7"/>
    <w:rsid w:val="0050471B"/>
    <w:rsid w:val="00506C11"/>
    <w:rsid w:val="005074D0"/>
    <w:rsid w:val="00507A5E"/>
    <w:rsid w:val="00510288"/>
    <w:rsid w:val="005114F3"/>
    <w:rsid w:val="0051236F"/>
    <w:rsid w:val="00512AA6"/>
    <w:rsid w:val="00512B82"/>
    <w:rsid w:val="005141F6"/>
    <w:rsid w:val="005143D5"/>
    <w:rsid w:val="005144C1"/>
    <w:rsid w:val="00515743"/>
    <w:rsid w:val="005165A1"/>
    <w:rsid w:val="00516E82"/>
    <w:rsid w:val="00520DD9"/>
    <w:rsid w:val="00522AF6"/>
    <w:rsid w:val="00523823"/>
    <w:rsid w:val="00523E42"/>
    <w:rsid w:val="0052476F"/>
    <w:rsid w:val="005255B5"/>
    <w:rsid w:val="005274D9"/>
    <w:rsid w:val="0053026D"/>
    <w:rsid w:val="00530FA6"/>
    <w:rsid w:val="005310A0"/>
    <w:rsid w:val="005319B3"/>
    <w:rsid w:val="00531D4D"/>
    <w:rsid w:val="00532284"/>
    <w:rsid w:val="00533B49"/>
    <w:rsid w:val="00534031"/>
    <w:rsid w:val="0053403A"/>
    <w:rsid w:val="00534440"/>
    <w:rsid w:val="00535A95"/>
    <w:rsid w:val="00535CED"/>
    <w:rsid w:val="00537F3E"/>
    <w:rsid w:val="005428AA"/>
    <w:rsid w:val="00543F1D"/>
    <w:rsid w:val="0055169F"/>
    <w:rsid w:val="00551731"/>
    <w:rsid w:val="00553770"/>
    <w:rsid w:val="005549B1"/>
    <w:rsid w:val="00557AD3"/>
    <w:rsid w:val="00560DDC"/>
    <w:rsid w:val="0056357F"/>
    <w:rsid w:val="0056426B"/>
    <w:rsid w:val="005669C7"/>
    <w:rsid w:val="00567198"/>
    <w:rsid w:val="00571EC4"/>
    <w:rsid w:val="00572516"/>
    <w:rsid w:val="00573469"/>
    <w:rsid w:val="00573703"/>
    <w:rsid w:val="00573B5C"/>
    <w:rsid w:val="00573F9F"/>
    <w:rsid w:val="00575B03"/>
    <w:rsid w:val="00576EAC"/>
    <w:rsid w:val="00580523"/>
    <w:rsid w:val="005813C0"/>
    <w:rsid w:val="00581E8D"/>
    <w:rsid w:val="005820BF"/>
    <w:rsid w:val="00582CCF"/>
    <w:rsid w:val="00584576"/>
    <w:rsid w:val="005855C3"/>
    <w:rsid w:val="005901E7"/>
    <w:rsid w:val="0059230E"/>
    <w:rsid w:val="0059495B"/>
    <w:rsid w:val="00594A46"/>
    <w:rsid w:val="005956B6"/>
    <w:rsid w:val="005961D6"/>
    <w:rsid w:val="00596793"/>
    <w:rsid w:val="00596C48"/>
    <w:rsid w:val="00597C5E"/>
    <w:rsid w:val="005A07BB"/>
    <w:rsid w:val="005A5040"/>
    <w:rsid w:val="005A59F8"/>
    <w:rsid w:val="005A5CF8"/>
    <w:rsid w:val="005B0022"/>
    <w:rsid w:val="005B0AEB"/>
    <w:rsid w:val="005B17B3"/>
    <w:rsid w:val="005B2793"/>
    <w:rsid w:val="005B305D"/>
    <w:rsid w:val="005B31C3"/>
    <w:rsid w:val="005B341D"/>
    <w:rsid w:val="005C02A3"/>
    <w:rsid w:val="005C12AB"/>
    <w:rsid w:val="005C1658"/>
    <w:rsid w:val="005C3A15"/>
    <w:rsid w:val="005C3F76"/>
    <w:rsid w:val="005C41A9"/>
    <w:rsid w:val="005C474B"/>
    <w:rsid w:val="005C4A10"/>
    <w:rsid w:val="005C4B06"/>
    <w:rsid w:val="005C53C3"/>
    <w:rsid w:val="005C6588"/>
    <w:rsid w:val="005C6D32"/>
    <w:rsid w:val="005C6F0D"/>
    <w:rsid w:val="005D0A1E"/>
    <w:rsid w:val="005D2ABD"/>
    <w:rsid w:val="005D481F"/>
    <w:rsid w:val="005D7B3E"/>
    <w:rsid w:val="005D7C09"/>
    <w:rsid w:val="005E1B81"/>
    <w:rsid w:val="005E1CE3"/>
    <w:rsid w:val="005E1D43"/>
    <w:rsid w:val="005E1FAF"/>
    <w:rsid w:val="005E2D89"/>
    <w:rsid w:val="005E2E38"/>
    <w:rsid w:val="005E3149"/>
    <w:rsid w:val="005E33C9"/>
    <w:rsid w:val="005E44FB"/>
    <w:rsid w:val="005E5079"/>
    <w:rsid w:val="005E5549"/>
    <w:rsid w:val="005E5B22"/>
    <w:rsid w:val="005E5C79"/>
    <w:rsid w:val="005E60F1"/>
    <w:rsid w:val="005E79E1"/>
    <w:rsid w:val="005F2DEE"/>
    <w:rsid w:val="005F4ACE"/>
    <w:rsid w:val="005F58FE"/>
    <w:rsid w:val="005F62AA"/>
    <w:rsid w:val="005F6590"/>
    <w:rsid w:val="005F6D87"/>
    <w:rsid w:val="00601AB5"/>
    <w:rsid w:val="00603B4D"/>
    <w:rsid w:val="00607260"/>
    <w:rsid w:val="0061115D"/>
    <w:rsid w:val="00611B37"/>
    <w:rsid w:val="00613A4B"/>
    <w:rsid w:val="00613D25"/>
    <w:rsid w:val="00615AB1"/>
    <w:rsid w:val="0061752B"/>
    <w:rsid w:val="00621B6F"/>
    <w:rsid w:val="00623233"/>
    <w:rsid w:val="00623839"/>
    <w:rsid w:val="00623A74"/>
    <w:rsid w:val="00623A79"/>
    <w:rsid w:val="00624A1A"/>
    <w:rsid w:val="006250C8"/>
    <w:rsid w:val="00625250"/>
    <w:rsid w:val="00626065"/>
    <w:rsid w:val="00627331"/>
    <w:rsid w:val="00627635"/>
    <w:rsid w:val="0062785A"/>
    <w:rsid w:val="006312B7"/>
    <w:rsid w:val="006316EC"/>
    <w:rsid w:val="00633FDD"/>
    <w:rsid w:val="00640388"/>
    <w:rsid w:val="0064110E"/>
    <w:rsid w:val="00642847"/>
    <w:rsid w:val="006429B0"/>
    <w:rsid w:val="006434EE"/>
    <w:rsid w:val="00644C17"/>
    <w:rsid w:val="00645F4A"/>
    <w:rsid w:val="00647EAF"/>
    <w:rsid w:val="00650801"/>
    <w:rsid w:val="006509F6"/>
    <w:rsid w:val="00650C8F"/>
    <w:rsid w:val="00650DBA"/>
    <w:rsid w:val="0065311A"/>
    <w:rsid w:val="0065473B"/>
    <w:rsid w:val="00654A99"/>
    <w:rsid w:val="0065502A"/>
    <w:rsid w:val="006563F3"/>
    <w:rsid w:val="00657B23"/>
    <w:rsid w:val="00660881"/>
    <w:rsid w:val="00662ECF"/>
    <w:rsid w:val="00663E72"/>
    <w:rsid w:val="00663E8B"/>
    <w:rsid w:val="0066474C"/>
    <w:rsid w:val="00664CCC"/>
    <w:rsid w:val="0066523E"/>
    <w:rsid w:val="006656F2"/>
    <w:rsid w:val="006675CF"/>
    <w:rsid w:val="00667A59"/>
    <w:rsid w:val="0067410B"/>
    <w:rsid w:val="00674532"/>
    <w:rsid w:val="00674AC3"/>
    <w:rsid w:val="00674DBC"/>
    <w:rsid w:val="006753CC"/>
    <w:rsid w:val="006755D9"/>
    <w:rsid w:val="0067577B"/>
    <w:rsid w:val="006766B6"/>
    <w:rsid w:val="00677EC9"/>
    <w:rsid w:val="006805A9"/>
    <w:rsid w:val="00681082"/>
    <w:rsid w:val="00681BBB"/>
    <w:rsid w:val="00682B7E"/>
    <w:rsid w:val="00686217"/>
    <w:rsid w:val="00686862"/>
    <w:rsid w:val="00687459"/>
    <w:rsid w:val="00690CCD"/>
    <w:rsid w:val="00692B91"/>
    <w:rsid w:val="00692DD2"/>
    <w:rsid w:val="0069425B"/>
    <w:rsid w:val="00694C28"/>
    <w:rsid w:val="00694E8E"/>
    <w:rsid w:val="00695498"/>
    <w:rsid w:val="00696D00"/>
    <w:rsid w:val="00697AEA"/>
    <w:rsid w:val="006A4419"/>
    <w:rsid w:val="006A44C5"/>
    <w:rsid w:val="006A48A6"/>
    <w:rsid w:val="006A54A7"/>
    <w:rsid w:val="006A5B11"/>
    <w:rsid w:val="006B2FD4"/>
    <w:rsid w:val="006B5E5B"/>
    <w:rsid w:val="006C1E32"/>
    <w:rsid w:val="006C36DC"/>
    <w:rsid w:val="006C371C"/>
    <w:rsid w:val="006C3C6B"/>
    <w:rsid w:val="006C422B"/>
    <w:rsid w:val="006C556A"/>
    <w:rsid w:val="006C5858"/>
    <w:rsid w:val="006C6BDB"/>
    <w:rsid w:val="006C7860"/>
    <w:rsid w:val="006D1A94"/>
    <w:rsid w:val="006D290C"/>
    <w:rsid w:val="006D3C40"/>
    <w:rsid w:val="006D4EE6"/>
    <w:rsid w:val="006D6646"/>
    <w:rsid w:val="006E0161"/>
    <w:rsid w:val="006E0381"/>
    <w:rsid w:val="006E2412"/>
    <w:rsid w:val="006E26FA"/>
    <w:rsid w:val="006E304C"/>
    <w:rsid w:val="006E4090"/>
    <w:rsid w:val="006E4B63"/>
    <w:rsid w:val="006E5965"/>
    <w:rsid w:val="006E5F56"/>
    <w:rsid w:val="006E5FC0"/>
    <w:rsid w:val="006E6658"/>
    <w:rsid w:val="006E69B1"/>
    <w:rsid w:val="006E75D4"/>
    <w:rsid w:val="006F072D"/>
    <w:rsid w:val="006F0AD5"/>
    <w:rsid w:val="006F0E28"/>
    <w:rsid w:val="006F38F3"/>
    <w:rsid w:val="006F5213"/>
    <w:rsid w:val="006F5381"/>
    <w:rsid w:val="006F7CFD"/>
    <w:rsid w:val="006F7D99"/>
    <w:rsid w:val="00700733"/>
    <w:rsid w:val="00701C41"/>
    <w:rsid w:val="00702132"/>
    <w:rsid w:val="00702286"/>
    <w:rsid w:val="00702B67"/>
    <w:rsid w:val="00703224"/>
    <w:rsid w:val="007033F7"/>
    <w:rsid w:val="007063B5"/>
    <w:rsid w:val="0070680C"/>
    <w:rsid w:val="00707807"/>
    <w:rsid w:val="007103EB"/>
    <w:rsid w:val="00710826"/>
    <w:rsid w:val="00710FD3"/>
    <w:rsid w:val="007134B4"/>
    <w:rsid w:val="007171BD"/>
    <w:rsid w:val="0072134D"/>
    <w:rsid w:val="007219B7"/>
    <w:rsid w:val="00725783"/>
    <w:rsid w:val="0072628B"/>
    <w:rsid w:val="007276DE"/>
    <w:rsid w:val="007302B9"/>
    <w:rsid w:val="00731F75"/>
    <w:rsid w:val="0073396C"/>
    <w:rsid w:val="007340A8"/>
    <w:rsid w:val="00735A38"/>
    <w:rsid w:val="0073626E"/>
    <w:rsid w:val="00736D7D"/>
    <w:rsid w:val="00740037"/>
    <w:rsid w:val="00741B01"/>
    <w:rsid w:val="00741BE6"/>
    <w:rsid w:val="00741EAA"/>
    <w:rsid w:val="00741F28"/>
    <w:rsid w:val="00743D46"/>
    <w:rsid w:val="00744639"/>
    <w:rsid w:val="0074602B"/>
    <w:rsid w:val="00750D4E"/>
    <w:rsid w:val="0075243D"/>
    <w:rsid w:val="0075334F"/>
    <w:rsid w:val="00753530"/>
    <w:rsid w:val="00754861"/>
    <w:rsid w:val="00757A8D"/>
    <w:rsid w:val="0076198C"/>
    <w:rsid w:val="00761DA5"/>
    <w:rsid w:val="007639A8"/>
    <w:rsid w:val="00763CAC"/>
    <w:rsid w:val="0076616F"/>
    <w:rsid w:val="007662B1"/>
    <w:rsid w:val="00766935"/>
    <w:rsid w:val="00766EEA"/>
    <w:rsid w:val="0076738A"/>
    <w:rsid w:val="007677AC"/>
    <w:rsid w:val="007718A0"/>
    <w:rsid w:val="00771E38"/>
    <w:rsid w:val="00773A91"/>
    <w:rsid w:val="00773B97"/>
    <w:rsid w:val="00776337"/>
    <w:rsid w:val="0077677E"/>
    <w:rsid w:val="0078187B"/>
    <w:rsid w:val="00781894"/>
    <w:rsid w:val="00781C7E"/>
    <w:rsid w:val="00782686"/>
    <w:rsid w:val="00782EE4"/>
    <w:rsid w:val="007839BA"/>
    <w:rsid w:val="007868E1"/>
    <w:rsid w:val="00787C5C"/>
    <w:rsid w:val="00790F6D"/>
    <w:rsid w:val="00791890"/>
    <w:rsid w:val="00792A2F"/>
    <w:rsid w:val="00793522"/>
    <w:rsid w:val="00793748"/>
    <w:rsid w:val="00793962"/>
    <w:rsid w:val="00794C62"/>
    <w:rsid w:val="00794ED6"/>
    <w:rsid w:val="00794F92"/>
    <w:rsid w:val="007A19C2"/>
    <w:rsid w:val="007A2928"/>
    <w:rsid w:val="007A3F80"/>
    <w:rsid w:val="007A4D7F"/>
    <w:rsid w:val="007A6DC0"/>
    <w:rsid w:val="007A6E67"/>
    <w:rsid w:val="007A6F56"/>
    <w:rsid w:val="007A7147"/>
    <w:rsid w:val="007A7E19"/>
    <w:rsid w:val="007B04C2"/>
    <w:rsid w:val="007B04E5"/>
    <w:rsid w:val="007B1447"/>
    <w:rsid w:val="007B1A62"/>
    <w:rsid w:val="007B2F6F"/>
    <w:rsid w:val="007B53B0"/>
    <w:rsid w:val="007C0EBA"/>
    <w:rsid w:val="007C1EBF"/>
    <w:rsid w:val="007C2623"/>
    <w:rsid w:val="007C3716"/>
    <w:rsid w:val="007C69FD"/>
    <w:rsid w:val="007C738E"/>
    <w:rsid w:val="007C7AD4"/>
    <w:rsid w:val="007D030B"/>
    <w:rsid w:val="007D0EFA"/>
    <w:rsid w:val="007D139F"/>
    <w:rsid w:val="007D2A81"/>
    <w:rsid w:val="007D303C"/>
    <w:rsid w:val="007D31E2"/>
    <w:rsid w:val="007D3A2B"/>
    <w:rsid w:val="007D6102"/>
    <w:rsid w:val="007D6818"/>
    <w:rsid w:val="007E0C55"/>
    <w:rsid w:val="007E260F"/>
    <w:rsid w:val="007E31D8"/>
    <w:rsid w:val="007E3AE9"/>
    <w:rsid w:val="007E3E61"/>
    <w:rsid w:val="007E4750"/>
    <w:rsid w:val="007E54F1"/>
    <w:rsid w:val="007E5DF9"/>
    <w:rsid w:val="007E7427"/>
    <w:rsid w:val="007E7D5C"/>
    <w:rsid w:val="007F03E1"/>
    <w:rsid w:val="007F11A2"/>
    <w:rsid w:val="007F19F8"/>
    <w:rsid w:val="007F1CBC"/>
    <w:rsid w:val="007F28D1"/>
    <w:rsid w:val="007F2DF2"/>
    <w:rsid w:val="007F374B"/>
    <w:rsid w:val="007F3ADA"/>
    <w:rsid w:val="007F3BD3"/>
    <w:rsid w:val="007F3E3E"/>
    <w:rsid w:val="007F40C3"/>
    <w:rsid w:val="007F464B"/>
    <w:rsid w:val="007F50D5"/>
    <w:rsid w:val="007F5430"/>
    <w:rsid w:val="007F55C2"/>
    <w:rsid w:val="007F65F1"/>
    <w:rsid w:val="007F662D"/>
    <w:rsid w:val="007F6A82"/>
    <w:rsid w:val="008015DC"/>
    <w:rsid w:val="00802E3F"/>
    <w:rsid w:val="008037BC"/>
    <w:rsid w:val="00803A91"/>
    <w:rsid w:val="00805220"/>
    <w:rsid w:val="00806260"/>
    <w:rsid w:val="008120A9"/>
    <w:rsid w:val="00814539"/>
    <w:rsid w:val="00815695"/>
    <w:rsid w:val="008160CD"/>
    <w:rsid w:val="008208AC"/>
    <w:rsid w:val="00822335"/>
    <w:rsid w:val="008227E3"/>
    <w:rsid w:val="00822857"/>
    <w:rsid w:val="008242A1"/>
    <w:rsid w:val="008242C1"/>
    <w:rsid w:val="00826DD0"/>
    <w:rsid w:val="0083130F"/>
    <w:rsid w:val="00832D2D"/>
    <w:rsid w:val="008332F9"/>
    <w:rsid w:val="00833B58"/>
    <w:rsid w:val="00834CF2"/>
    <w:rsid w:val="00835508"/>
    <w:rsid w:val="00836DA4"/>
    <w:rsid w:val="008377D9"/>
    <w:rsid w:val="008405B0"/>
    <w:rsid w:val="00841F54"/>
    <w:rsid w:val="00844E20"/>
    <w:rsid w:val="00850E06"/>
    <w:rsid w:val="0085333F"/>
    <w:rsid w:val="00853670"/>
    <w:rsid w:val="00853ADD"/>
    <w:rsid w:val="00855029"/>
    <w:rsid w:val="00855C54"/>
    <w:rsid w:val="00857033"/>
    <w:rsid w:val="008574B4"/>
    <w:rsid w:val="00857962"/>
    <w:rsid w:val="00857B32"/>
    <w:rsid w:val="008612DE"/>
    <w:rsid w:val="00861346"/>
    <w:rsid w:val="008616A9"/>
    <w:rsid w:val="00864676"/>
    <w:rsid w:val="00866406"/>
    <w:rsid w:val="00872136"/>
    <w:rsid w:val="00872BA6"/>
    <w:rsid w:val="00874EE5"/>
    <w:rsid w:val="008774E0"/>
    <w:rsid w:val="00881F78"/>
    <w:rsid w:val="00884696"/>
    <w:rsid w:val="00886BEA"/>
    <w:rsid w:val="0089018A"/>
    <w:rsid w:val="008901BE"/>
    <w:rsid w:val="00891424"/>
    <w:rsid w:val="008917DA"/>
    <w:rsid w:val="00891AE2"/>
    <w:rsid w:val="0089421E"/>
    <w:rsid w:val="00895E65"/>
    <w:rsid w:val="00896D13"/>
    <w:rsid w:val="008A0ECF"/>
    <w:rsid w:val="008A1896"/>
    <w:rsid w:val="008A19F3"/>
    <w:rsid w:val="008A1E65"/>
    <w:rsid w:val="008A24F2"/>
    <w:rsid w:val="008A42F7"/>
    <w:rsid w:val="008A4FA2"/>
    <w:rsid w:val="008A51C8"/>
    <w:rsid w:val="008A5ABA"/>
    <w:rsid w:val="008A70B4"/>
    <w:rsid w:val="008B04F5"/>
    <w:rsid w:val="008B0FC5"/>
    <w:rsid w:val="008B2887"/>
    <w:rsid w:val="008B2A43"/>
    <w:rsid w:val="008B3229"/>
    <w:rsid w:val="008B458D"/>
    <w:rsid w:val="008B69F3"/>
    <w:rsid w:val="008C07CE"/>
    <w:rsid w:val="008C1CC2"/>
    <w:rsid w:val="008C2586"/>
    <w:rsid w:val="008C2C0F"/>
    <w:rsid w:val="008C2C4B"/>
    <w:rsid w:val="008D14F2"/>
    <w:rsid w:val="008D266F"/>
    <w:rsid w:val="008D2A14"/>
    <w:rsid w:val="008D2B79"/>
    <w:rsid w:val="008D34A3"/>
    <w:rsid w:val="008D3AFD"/>
    <w:rsid w:val="008D550E"/>
    <w:rsid w:val="008D5EA0"/>
    <w:rsid w:val="008D6D4B"/>
    <w:rsid w:val="008D75FB"/>
    <w:rsid w:val="008E1266"/>
    <w:rsid w:val="008E2580"/>
    <w:rsid w:val="008E37FB"/>
    <w:rsid w:val="008E484B"/>
    <w:rsid w:val="008E5139"/>
    <w:rsid w:val="008E69BF"/>
    <w:rsid w:val="008E74F1"/>
    <w:rsid w:val="008F0400"/>
    <w:rsid w:val="008F0CD6"/>
    <w:rsid w:val="008F13FB"/>
    <w:rsid w:val="008F1DE4"/>
    <w:rsid w:val="008F3620"/>
    <w:rsid w:val="008F3CC2"/>
    <w:rsid w:val="008F4FF6"/>
    <w:rsid w:val="008F5DE0"/>
    <w:rsid w:val="0090090F"/>
    <w:rsid w:val="00900932"/>
    <w:rsid w:val="009012D4"/>
    <w:rsid w:val="00903641"/>
    <w:rsid w:val="00903721"/>
    <w:rsid w:val="009042E5"/>
    <w:rsid w:val="00904C02"/>
    <w:rsid w:val="00906BF2"/>
    <w:rsid w:val="009101F4"/>
    <w:rsid w:val="0091056F"/>
    <w:rsid w:val="009110ED"/>
    <w:rsid w:val="00911498"/>
    <w:rsid w:val="00913729"/>
    <w:rsid w:val="009144DE"/>
    <w:rsid w:val="009157BA"/>
    <w:rsid w:val="00915F1C"/>
    <w:rsid w:val="00917D5D"/>
    <w:rsid w:val="009229E0"/>
    <w:rsid w:val="00922FDA"/>
    <w:rsid w:val="00923247"/>
    <w:rsid w:val="0092394D"/>
    <w:rsid w:val="00924E6D"/>
    <w:rsid w:val="00930443"/>
    <w:rsid w:val="00931E81"/>
    <w:rsid w:val="00931FB2"/>
    <w:rsid w:val="009321CA"/>
    <w:rsid w:val="00932816"/>
    <w:rsid w:val="0093445A"/>
    <w:rsid w:val="00934DA1"/>
    <w:rsid w:val="009362B0"/>
    <w:rsid w:val="009375C7"/>
    <w:rsid w:val="00940203"/>
    <w:rsid w:val="00941FC7"/>
    <w:rsid w:val="00942513"/>
    <w:rsid w:val="00943AF1"/>
    <w:rsid w:val="00943CD1"/>
    <w:rsid w:val="00943CD6"/>
    <w:rsid w:val="00944EAB"/>
    <w:rsid w:val="00952932"/>
    <w:rsid w:val="00952CBC"/>
    <w:rsid w:val="00952FA1"/>
    <w:rsid w:val="00953BD9"/>
    <w:rsid w:val="00954489"/>
    <w:rsid w:val="009546F3"/>
    <w:rsid w:val="0095542D"/>
    <w:rsid w:val="009556D3"/>
    <w:rsid w:val="00955F60"/>
    <w:rsid w:val="009565CE"/>
    <w:rsid w:val="009573E6"/>
    <w:rsid w:val="0096373C"/>
    <w:rsid w:val="00964985"/>
    <w:rsid w:val="00964A93"/>
    <w:rsid w:val="00964F30"/>
    <w:rsid w:val="00967DC6"/>
    <w:rsid w:val="00972FA2"/>
    <w:rsid w:val="00976386"/>
    <w:rsid w:val="009766E5"/>
    <w:rsid w:val="00977455"/>
    <w:rsid w:val="009813D1"/>
    <w:rsid w:val="0098226F"/>
    <w:rsid w:val="0098241D"/>
    <w:rsid w:val="00982A89"/>
    <w:rsid w:val="00984245"/>
    <w:rsid w:val="009846CC"/>
    <w:rsid w:val="00985FED"/>
    <w:rsid w:val="00986145"/>
    <w:rsid w:val="0098646D"/>
    <w:rsid w:val="0098681C"/>
    <w:rsid w:val="009869F6"/>
    <w:rsid w:val="009875B7"/>
    <w:rsid w:val="00987750"/>
    <w:rsid w:val="00987891"/>
    <w:rsid w:val="0098797C"/>
    <w:rsid w:val="009906CE"/>
    <w:rsid w:val="0099337F"/>
    <w:rsid w:val="00995180"/>
    <w:rsid w:val="00996043"/>
    <w:rsid w:val="009969A8"/>
    <w:rsid w:val="00997AB6"/>
    <w:rsid w:val="009A031D"/>
    <w:rsid w:val="009A174B"/>
    <w:rsid w:val="009A26BF"/>
    <w:rsid w:val="009A2F2F"/>
    <w:rsid w:val="009A2F5E"/>
    <w:rsid w:val="009A3E2B"/>
    <w:rsid w:val="009A473B"/>
    <w:rsid w:val="009A6EA2"/>
    <w:rsid w:val="009B1444"/>
    <w:rsid w:val="009B4194"/>
    <w:rsid w:val="009B44AF"/>
    <w:rsid w:val="009B4D50"/>
    <w:rsid w:val="009B5BA0"/>
    <w:rsid w:val="009C1E28"/>
    <w:rsid w:val="009C23A9"/>
    <w:rsid w:val="009C25D5"/>
    <w:rsid w:val="009C2861"/>
    <w:rsid w:val="009C2AB5"/>
    <w:rsid w:val="009C4D5F"/>
    <w:rsid w:val="009C56AD"/>
    <w:rsid w:val="009C63BB"/>
    <w:rsid w:val="009C68CC"/>
    <w:rsid w:val="009D0C6C"/>
    <w:rsid w:val="009D4735"/>
    <w:rsid w:val="009D50C4"/>
    <w:rsid w:val="009D564B"/>
    <w:rsid w:val="009D5C58"/>
    <w:rsid w:val="009D6193"/>
    <w:rsid w:val="009E073C"/>
    <w:rsid w:val="009E15F6"/>
    <w:rsid w:val="009E2564"/>
    <w:rsid w:val="009E2A92"/>
    <w:rsid w:val="009E38B4"/>
    <w:rsid w:val="009E6658"/>
    <w:rsid w:val="009E772C"/>
    <w:rsid w:val="009F0221"/>
    <w:rsid w:val="009F17C4"/>
    <w:rsid w:val="009F59E9"/>
    <w:rsid w:val="009F6870"/>
    <w:rsid w:val="009F6AC5"/>
    <w:rsid w:val="00A01BBA"/>
    <w:rsid w:val="00A03B9E"/>
    <w:rsid w:val="00A063BC"/>
    <w:rsid w:val="00A066AC"/>
    <w:rsid w:val="00A1038D"/>
    <w:rsid w:val="00A10DE9"/>
    <w:rsid w:val="00A11D56"/>
    <w:rsid w:val="00A11E95"/>
    <w:rsid w:val="00A135EF"/>
    <w:rsid w:val="00A13D6E"/>
    <w:rsid w:val="00A146E0"/>
    <w:rsid w:val="00A14D3B"/>
    <w:rsid w:val="00A16EFC"/>
    <w:rsid w:val="00A2128F"/>
    <w:rsid w:val="00A22E8B"/>
    <w:rsid w:val="00A22FDE"/>
    <w:rsid w:val="00A238E7"/>
    <w:rsid w:val="00A24723"/>
    <w:rsid w:val="00A26858"/>
    <w:rsid w:val="00A26967"/>
    <w:rsid w:val="00A3282A"/>
    <w:rsid w:val="00A33FBC"/>
    <w:rsid w:val="00A348FB"/>
    <w:rsid w:val="00A34BDA"/>
    <w:rsid w:val="00A34F4E"/>
    <w:rsid w:val="00A36F54"/>
    <w:rsid w:val="00A41C95"/>
    <w:rsid w:val="00A4256A"/>
    <w:rsid w:val="00A42787"/>
    <w:rsid w:val="00A42D17"/>
    <w:rsid w:val="00A4322D"/>
    <w:rsid w:val="00A4334A"/>
    <w:rsid w:val="00A439C4"/>
    <w:rsid w:val="00A44CBC"/>
    <w:rsid w:val="00A451D6"/>
    <w:rsid w:val="00A46B27"/>
    <w:rsid w:val="00A46FFF"/>
    <w:rsid w:val="00A5083A"/>
    <w:rsid w:val="00A50871"/>
    <w:rsid w:val="00A53E52"/>
    <w:rsid w:val="00A549CD"/>
    <w:rsid w:val="00A55AE1"/>
    <w:rsid w:val="00A55FD2"/>
    <w:rsid w:val="00A56992"/>
    <w:rsid w:val="00A57CDB"/>
    <w:rsid w:val="00A57F81"/>
    <w:rsid w:val="00A61B59"/>
    <w:rsid w:val="00A61CD7"/>
    <w:rsid w:val="00A631C5"/>
    <w:rsid w:val="00A633CB"/>
    <w:rsid w:val="00A63796"/>
    <w:rsid w:val="00A648D5"/>
    <w:rsid w:val="00A64CF1"/>
    <w:rsid w:val="00A6662C"/>
    <w:rsid w:val="00A667E4"/>
    <w:rsid w:val="00A66813"/>
    <w:rsid w:val="00A66BFF"/>
    <w:rsid w:val="00A676B6"/>
    <w:rsid w:val="00A71410"/>
    <w:rsid w:val="00A726AE"/>
    <w:rsid w:val="00A73303"/>
    <w:rsid w:val="00A75160"/>
    <w:rsid w:val="00A75A36"/>
    <w:rsid w:val="00A80D54"/>
    <w:rsid w:val="00A80F79"/>
    <w:rsid w:val="00A82409"/>
    <w:rsid w:val="00A87876"/>
    <w:rsid w:val="00A87FAC"/>
    <w:rsid w:val="00A91EAE"/>
    <w:rsid w:val="00A92C8A"/>
    <w:rsid w:val="00A93C13"/>
    <w:rsid w:val="00A94857"/>
    <w:rsid w:val="00A95C31"/>
    <w:rsid w:val="00A97ADD"/>
    <w:rsid w:val="00AA005D"/>
    <w:rsid w:val="00AA0DF9"/>
    <w:rsid w:val="00AA49E8"/>
    <w:rsid w:val="00AA662E"/>
    <w:rsid w:val="00AA66A0"/>
    <w:rsid w:val="00AA692D"/>
    <w:rsid w:val="00AA77DF"/>
    <w:rsid w:val="00AB0A11"/>
    <w:rsid w:val="00AB0A17"/>
    <w:rsid w:val="00AB19D6"/>
    <w:rsid w:val="00AB1EFA"/>
    <w:rsid w:val="00AB6BD5"/>
    <w:rsid w:val="00AB7819"/>
    <w:rsid w:val="00AB79AB"/>
    <w:rsid w:val="00AC02D7"/>
    <w:rsid w:val="00AC163B"/>
    <w:rsid w:val="00AC25AE"/>
    <w:rsid w:val="00AC2810"/>
    <w:rsid w:val="00AC35F5"/>
    <w:rsid w:val="00AC4167"/>
    <w:rsid w:val="00AC431D"/>
    <w:rsid w:val="00AC6396"/>
    <w:rsid w:val="00AC64BA"/>
    <w:rsid w:val="00AC7FB5"/>
    <w:rsid w:val="00AD0B52"/>
    <w:rsid w:val="00AD17A2"/>
    <w:rsid w:val="00AD1A06"/>
    <w:rsid w:val="00AD1ACA"/>
    <w:rsid w:val="00AD1DC8"/>
    <w:rsid w:val="00AD5DD2"/>
    <w:rsid w:val="00AD63E5"/>
    <w:rsid w:val="00AD68C0"/>
    <w:rsid w:val="00AD6F35"/>
    <w:rsid w:val="00AE0D56"/>
    <w:rsid w:val="00AE1CBA"/>
    <w:rsid w:val="00AE31EC"/>
    <w:rsid w:val="00AE38C6"/>
    <w:rsid w:val="00AE3ADD"/>
    <w:rsid w:val="00AE40EB"/>
    <w:rsid w:val="00AE49E0"/>
    <w:rsid w:val="00AE4DA3"/>
    <w:rsid w:val="00AE5249"/>
    <w:rsid w:val="00AE60C6"/>
    <w:rsid w:val="00AE70D1"/>
    <w:rsid w:val="00AE774C"/>
    <w:rsid w:val="00AE7A46"/>
    <w:rsid w:val="00AE7FEC"/>
    <w:rsid w:val="00AF0AD7"/>
    <w:rsid w:val="00AF0BB3"/>
    <w:rsid w:val="00AF25B1"/>
    <w:rsid w:val="00AF3D1F"/>
    <w:rsid w:val="00AF615E"/>
    <w:rsid w:val="00AF6827"/>
    <w:rsid w:val="00B0006D"/>
    <w:rsid w:val="00B00FAE"/>
    <w:rsid w:val="00B0115E"/>
    <w:rsid w:val="00B02CC5"/>
    <w:rsid w:val="00B039C0"/>
    <w:rsid w:val="00B03BDB"/>
    <w:rsid w:val="00B04397"/>
    <w:rsid w:val="00B065C8"/>
    <w:rsid w:val="00B139A7"/>
    <w:rsid w:val="00B14205"/>
    <w:rsid w:val="00B14AC0"/>
    <w:rsid w:val="00B20D36"/>
    <w:rsid w:val="00B212CD"/>
    <w:rsid w:val="00B21DEC"/>
    <w:rsid w:val="00B2300F"/>
    <w:rsid w:val="00B23553"/>
    <w:rsid w:val="00B23A64"/>
    <w:rsid w:val="00B23DB1"/>
    <w:rsid w:val="00B24B58"/>
    <w:rsid w:val="00B3141C"/>
    <w:rsid w:val="00B3440A"/>
    <w:rsid w:val="00B37E49"/>
    <w:rsid w:val="00B43954"/>
    <w:rsid w:val="00B44354"/>
    <w:rsid w:val="00B45827"/>
    <w:rsid w:val="00B458F1"/>
    <w:rsid w:val="00B4733F"/>
    <w:rsid w:val="00B501D6"/>
    <w:rsid w:val="00B516EB"/>
    <w:rsid w:val="00B51DA9"/>
    <w:rsid w:val="00B53F1B"/>
    <w:rsid w:val="00B54E41"/>
    <w:rsid w:val="00B5583A"/>
    <w:rsid w:val="00B55A6C"/>
    <w:rsid w:val="00B57D1D"/>
    <w:rsid w:val="00B60A35"/>
    <w:rsid w:val="00B6563B"/>
    <w:rsid w:val="00B65E8E"/>
    <w:rsid w:val="00B66B81"/>
    <w:rsid w:val="00B66C81"/>
    <w:rsid w:val="00B70598"/>
    <w:rsid w:val="00B7063E"/>
    <w:rsid w:val="00B70C4D"/>
    <w:rsid w:val="00B7194A"/>
    <w:rsid w:val="00B71A35"/>
    <w:rsid w:val="00B71AC6"/>
    <w:rsid w:val="00B7293A"/>
    <w:rsid w:val="00B7360B"/>
    <w:rsid w:val="00B73C29"/>
    <w:rsid w:val="00B73FC0"/>
    <w:rsid w:val="00B7594A"/>
    <w:rsid w:val="00B761DF"/>
    <w:rsid w:val="00B80144"/>
    <w:rsid w:val="00B801DB"/>
    <w:rsid w:val="00B80ABA"/>
    <w:rsid w:val="00B81315"/>
    <w:rsid w:val="00B81E43"/>
    <w:rsid w:val="00B82665"/>
    <w:rsid w:val="00B8343E"/>
    <w:rsid w:val="00B83AB0"/>
    <w:rsid w:val="00B84463"/>
    <w:rsid w:val="00B848A6"/>
    <w:rsid w:val="00B84A5C"/>
    <w:rsid w:val="00B86F84"/>
    <w:rsid w:val="00B87992"/>
    <w:rsid w:val="00B91DFA"/>
    <w:rsid w:val="00B9591B"/>
    <w:rsid w:val="00B96B5E"/>
    <w:rsid w:val="00B96F7E"/>
    <w:rsid w:val="00BA0475"/>
    <w:rsid w:val="00BA0F9E"/>
    <w:rsid w:val="00BA18EF"/>
    <w:rsid w:val="00BA46B6"/>
    <w:rsid w:val="00BA75F2"/>
    <w:rsid w:val="00BB197E"/>
    <w:rsid w:val="00BB1BE8"/>
    <w:rsid w:val="00BB3234"/>
    <w:rsid w:val="00BB5C1C"/>
    <w:rsid w:val="00BB6273"/>
    <w:rsid w:val="00BB7145"/>
    <w:rsid w:val="00BC1B1F"/>
    <w:rsid w:val="00BC2009"/>
    <w:rsid w:val="00BC246F"/>
    <w:rsid w:val="00BC4BCC"/>
    <w:rsid w:val="00BC4DB9"/>
    <w:rsid w:val="00BD0442"/>
    <w:rsid w:val="00BD0ED6"/>
    <w:rsid w:val="00BD378F"/>
    <w:rsid w:val="00BD3DE5"/>
    <w:rsid w:val="00BD419F"/>
    <w:rsid w:val="00BD48BA"/>
    <w:rsid w:val="00BD5153"/>
    <w:rsid w:val="00BD5D5C"/>
    <w:rsid w:val="00BD5D6B"/>
    <w:rsid w:val="00BD6FEE"/>
    <w:rsid w:val="00BE1869"/>
    <w:rsid w:val="00BE401C"/>
    <w:rsid w:val="00BE4439"/>
    <w:rsid w:val="00BE457D"/>
    <w:rsid w:val="00BE48AC"/>
    <w:rsid w:val="00BE4DED"/>
    <w:rsid w:val="00BE4F73"/>
    <w:rsid w:val="00BE7EB4"/>
    <w:rsid w:val="00BF1857"/>
    <w:rsid w:val="00BF209A"/>
    <w:rsid w:val="00BF217A"/>
    <w:rsid w:val="00BF2896"/>
    <w:rsid w:val="00BF466F"/>
    <w:rsid w:val="00C001AD"/>
    <w:rsid w:val="00C02C4E"/>
    <w:rsid w:val="00C02D19"/>
    <w:rsid w:val="00C0421B"/>
    <w:rsid w:val="00C042CF"/>
    <w:rsid w:val="00C05891"/>
    <w:rsid w:val="00C11785"/>
    <w:rsid w:val="00C11F07"/>
    <w:rsid w:val="00C13A27"/>
    <w:rsid w:val="00C157DF"/>
    <w:rsid w:val="00C15A0B"/>
    <w:rsid w:val="00C1754E"/>
    <w:rsid w:val="00C217AD"/>
    <w:rsid w:val="00C22176"/>
    <w:rsid w:val="00C2269E"/>
    <w:rsid w:val="00C24EEF"/>
    <w:rsid w:val="00C26C33"/>
    <w:rsid w:val="00C26C8E"/>
    <w:rsid w:val="00C26FBF"/>
    <w:rsid w:val="00C27CDC"/>
    <w:rsid w:val="00C307DA"/>
    <w:rsid w:val="00C30F8D"/>
    <w:rsid w:val="00C344E5"/>
    <w:rsid w:val="00C3460A"/>
    <w:rsid w:val="00C35EC7"/>
    <w:rsid w:val="00C37588"/>
    <w:rsid w:val="00C41D29"/>
    <w:rsid w:val="00C42868"/>
    <w:rsid w:val="00C4353C"/>
    <w:rsid w:val="00C43DA2"/>
    <w:rsid w:val="00C44344"/>
    <w:rsid w:val="00C44B95"/>
    <w:rsid w:val="00C4661E"/>
    <w:rsid w:val="00C50E77"/>
    <w:rsid w:val="00C5191C"/>
    <w:rsid w:val="00C52438"/>
    <w:rsid w:val="00C5445F"/>
    <w:rsid w:val="00C54E1B"/>
    <w:rsid w:val="00C55F5F"/>
    <w:rsid w:val="00C603A0"/>
    <w:rsid w:val="00C64263"/>
    <w:rsid w:val="00C649E8"/>
    <w:rsid w:val="00C727AD"/>
    <w:rsid w:val="00C72841"/>
    <w:rsid w:val="00C728CE"/>
    <w:rsid w:val="00C74519"/>
    <w:rsid w:val="00C75CC4"/>
    <w:rsid w:val="00C7600F"/>
    <w:rsid w:val="00C769C0"/>
    <w:rsid w:val="00C76CCB"/>
    <w:rsid w:val="00C775F6"/>
    <w:rsid w:val="00C77C20"/>
    <w:rsid w:val="00C82425"/>
    <w:rsid w:val="00C8252D"/>
    <w:rsid w:val="00C8308D"/>
    <w:rsid w:val="00C8422F"/>
    <w:rsid w:val="00C847F7"/>
    <w:rsid w:val="00C8492C"/>
    <w:rsid w:val="00C86172"/>
    <w:rsid w:val="00C90394"/>
    <w:rsid w:val="00C94268"/>
    <w:rsid w:val="00C943CA"/>
    <w:rsid w:val="00C94DDC"/>
    <w:rsid w:val="00C96896"/>
    <w:rsid w:val="00C96F41"/>
    <w:rsid w:val="00C975D1"/>
    <w:rsid w:val="00C97850"/>
    <w:rsid w:val="00CA0CA2"/>
    <w:rsid w:val="00CA0DD1"/>
    <w:rsid w:val="00CA2186"/>
    <w:rsid w:val="00CA298E"/>
    <w:rsid w:val="00CA2BEF"/>
    <w:rsid w:val="00CA3123"/>
    <w:rsid w:val="00CA51C9"/>
    <w:rsid w:val="00CA7BC2"/>
    <w:rsid w:val="00CB00D0"/>
    <w:rsid w:val="00CB25CA"/>
    <w:rsid w:val="00CB4C17"/>
    <w:rsid w:val="00CB5EE9"/>
    <w:rsid w:val="00CB6638"/>
    <w:rsid w:val="00CB6781"/>
    <w:rsid w:val="00CB6D10"/>
    <w:rsid w:val="00CB7191"/>
    <w:rsid w:val="00CC054D"/>
    <w:rsid w:val="00CC0AF4"/>
    <w:rsid w:val="00CC3D19"/>
    <w:rsid w:val="00CC48F1"/>
    <w:rsid w:val="00CC4CE5"/>
    <w:rsid w:val="00CC618C"/>
    <w:rsid w:val="00CD01EA"/>
    <w:rsid w:val="00CD047D"/>
    <w:rsid w:val="00CD0D5B"/>
    <w:rsid w:val="00CD14ED"/>
    <w:rsid w:val="00CD1844"/>
    <w:rsid w:val="00CD273B"/>
    <w:rsid w:val="00CD2EE0"/>
    <w:rsid w:val="00CD35F3"/>
    <w:rsid w:val="00CD392B"/>
    <w:rsid w:val="00CD466E"/>
    <w:rsid w:val="00CD6C4A"/>
    <w:rsid w:val="00CD783D"/>
    <w:rsid w:val="00CD7C8A"/>
    <w:rsid w:val="00CE17F8"/>
    <w:rsid w:val="00CE227C"/>
    <w:rsid w:val="00CE3AD7"/>
    <w:rsid w:val="00CE3E35"/>
    <w:rsid w:val="00CE5208"/>
    <w:rsid w:val="00CE5F02"/>
    <w:rsid w:val="00CE7AB7"/>
    <w:rsid w:val="00CF0DAB"/>
    <w:rsid w:val="00CF4EA4"/>
    <w:rsid w:val="00CF56E6"/>
    <w:rsid w:val="00CF6602"/>
    <w:rsid w:val="00CF7036"/>
    <w:rsid w:val="00D00144"/>
    <w:rsid w:val="00D04998"/>
    <w:rsid w:val="00D04B9D"/>
    <w:rsid w:val="00D04EA6"/>
    <w:rsid w:val="00D0534D"/>
    <w:rsid w:val="00D1081B"/>
    <w:rsid w:val="00D13920"/>
    <w:rsid w:val="00D13A2A"/>
    <w:rsid w:val="00D143C0"/>
    <w:rsid w:val="00D14748"/>
    <w:rsid w:val="00D14E16"/>
    <w:rsid w:val="00D1553F"/>
    <w:rsid w:val="00D1580F"/>
    <w:rsid w:val="00D15C6C"/>
    <w:rsid w:val="00D206F1"/>
    <w:rsid w:val="00D23172"/>
    <w:rsid w:val="00D24717"/>
    <w:rsid w:val="00D25261"/>
    <w:rsid w:val="00D2556E"/>
    <w:rsid w:val="00D2603F"/>
    <w:rsid w:val="00D265E4"/>
    <w:rsid w:val="00D319C3"/>
    <w:rsid w:val="00D3550F"/>
    <w:rsid w:val="00D41F6D"/>
    <w:rsid w:val="00D4545A"/>
    <w:rsid w:val="00D47302"/>
    <w:rsid w:val="00D47960"/>
    <w:rsid w:val="00D47C5C"/>
    <w:rsid w:val="00D54025"/>
    <w:rsid w:val="00D555AB"/>
    <w:rsid w:val="00D60F7A"/>
    <w:rsid w:val="00D6121F"/>
    <w:rsid w:val="00D64AB9"/>
    <w:rsid w:val="00D66A16"/>
    <w:rsid w:val="00D70889"/>
    <w:rsid w:val="00D71C11"/>
    <w:rsid w:val="00D71EA3"/>
    <w:rsid w:val="00D72BF5"/>
    <w:rsid w:val="00D74EF3"/>
    <w:rsid w:val="00D75AF3"/>
    <w:rsid w:val="00D7687E"/>
    <w:rsid w:val="00D768F7"/>
    <w:rsid w:val="00D8012C"/>
    <w:rsid w:val="00D83D19"/>
    <w:rsid w:val="00D844F3"/>
    <w:rsid w:val="00D91D11"/>
    <w:rsid w:val="00D936D2"/>
    <w:rsid w:val="00D95949"/>
    <w:rsid w:val="00D95F42"/>
    <w:rsid w:val="00D9666A"/>
    <w:rsid w:val="00D96960"/>
    <w:rsid w:val="00D97D96"/>
    <w:rsid w:val="00DA0021"/>
    <w:rsid w:val="00DA06B3"/>
    <w:rsid w:val="00DA206B"/>
    <w:rsid w:val="00DA263C"/>
    <w:rsid w:val="00DA30EB"/>
    <w:rsid w:val="00DA5A59"/>
    <w:rsid w:val="00DB0CA3"/>
    <w:rsid w:val="00DB1B39"/>
    <w:rsid w:val="00DB1EBE"/>
    <w:rsid w:val="00DB3883"/>
    <w:rsid w:val="00DB4FCA"/>
    <w:rsid w:val="00DB573E"/>
    <w:rsid w:val="00DB5AC7"/>
    <w:rsid w:val="00DC06D0"/>
    <w:rsid w:val="00DC0A6D"/>
    <w:rsid w:val="00DC10E4"/>
    <w:rsid w:val="00DC19B4"/>
    <w:rsid w:val="00DC4BD3"/>
    <w:rsid w:val="00DC62DC"/>
    <w:rsid w:val="00DC75E1"/>
    <w:rsid w:val="00DC7AAF"/>
    <w:rsid w:val="00DC7B9C"/>
    <w:rsid w:val="00DD065D"/>
    <w:rsid w:val="00DD61D3"/>
    <w:rsid w:val="00DE084F"/>
    <w:rsid w:val="00DE0898"/>
    <w:rsid w:val="00DE0CB0"/>
    <w:rsid w:val="00DE0D15"/>
    <w:rsid w:val="00DE26C8"/>
    <w:rsid w:val="00DE3571"/>
    <w:rsid w:val="00DE3C81"/>
    <w:rsid w:val="00DE3D5A"/>
    <w:rsid w:val="00DE3FDB"/>
    <w:rsid w:val="00DE444D"/>
    <w:rsid w:val="00DE4C0F"/>
    <w:rsid w:val="00DE66A2"/>
    <w:rsid w:val="00DE6F60"/>
    <w:rsid w:val="00DF11F8"/>
    <w:rsid w:val="00DF3FEC"/>
    <w:rsid w:val="00DF64D5"/>
    <w:rsid w:val="00DF726C"/>
    <w:rsid w:val="00E00E32"/>
    <w:rsid w:val="00E01AC9"/>
    <w:rsid w:val="00E024E5"/>
    <w:rsid w:val="00E03734"/>
    <w:rsid w:val="00E04311"/>
    <w:rsid w:val="00E07B5E"/>
    <w:rsid w:val="00E07FED"/>
    <w:rsid w:val="00E13990"/>
    <w:rsid w:val="00E13F56"/>
    <w:rsid w:val="00E14B55"/>
    <w:rsid w:val="00E16C03"/>
    <w:rsid w:val="00E20DEA"/>
    <w:rsid w:val="00E21A75"/>
    <w:rsid w:val="00E21E45"/>
    <w:rsid w:val="00E2268A"/>
    <w:rsid w:val="00E23917"/>
    <w:rsid w:val="00E27135"/>
    <w:rsid w:val="00E307FE"/>
    <w:rsid w:val="00E32755"/>
    <w:rsid w:val="00E32821"/>
    <w:rsid w:val="00E32847"/>
    <w:rsid w:val="00E3316F"/>
    <w:rsid w:val="00E33FF3"/>
    <w:rsid w:val="00E37902"/>
    <w:rsid w:val="00E40B22"/>
    <w:rsid w:val="00E41B3D"/>
    <w:rsid w:val="00E41C97"/>
    <w:rsid w:val="00E42507"/>
    <w:rsid w:val="00E4300D"/>
    <w:rsid w:val="00E435FB"/>
    <w:rsid w:val="00E44D5D"/>
    <w:rsid w:val="00E45980"/>
    <w:rsid w:val="00E4635F"/>
    <w:rsid w:val="00E47B83"/>
    <w:rsid w:val="00E47BD4"/>
    <w:rsid w:val="00E47CC4"/>
    <w:rsid w:val="00E53B9F"/>
    <w:rsid w:val="00E54830"/>
    <w:rsid w:val="00E55F8A"/>
    <w:rsid w:val="00E5710C"/>
    <w:rsid w:val="00E5775D"/>
    <w:rsid w:val="00E61BA9"/>
    <w:rsid w:val="00E62412"/>
    <w:rsid w:val="00E62DE7"/>
    <w:rsid w:val="00E6521E"/>
    <w:rsid w:val="00E67683"/>
    <w:rsid w:val="00E7044E"/>
    <w:rsid w:val="00E72EED"/>
    <w:rsid w:val="00E73638"/>
    <w:rsid w:val="00E74586"/>
    <w:rsid w:val="00E75B62"/>
    <w:rsid w:val="00E76592"/>
    <w:rsid w:val="00E7665A"/>
    <w:rsid w:val="00E76730"/>
    <w:rsid w:val="00E77835"/>
    <w:rsid w:val="00E77D29"/>
    <w:rsid w:val="00E77FE7"/>
    <w:rsid w:val="00E80A95"/>
    <w:rsid w:val="00E814B9"/>
    <w:rsid w:val="00E90514"/>
    <w:rsid w:val="00E90735"/>
    <w:rsid w:val="00E907E3"/>
    <w:rsid w:val="00E91727"/>
    <w:rsid w:val="00E917E3"/>
    <w:rsid w:val="00E91D96"/>
    <w:rsid w:val="00E92846"/>
    <w:rsid w:val="00E9475B"/>
    <w:rsid w:val="00E95469"/>
    <w:rsid w:val="00E95624"/>
    <w:rsid w:val="00E97A04"/>
    <w:rsid w:val="00EA0BFD"/>
    <w:rsid w:val="00EA0F7D"/>
    <w:rsid w:val="00EA1B74"/>
    <w:rsid w:val="00EA26B1"/>
    <w:rsid w:val="00EA38BE"/>
    <w:rsid w:val="00EA3B32"/>
    <w:rsid w:val="00EA6467"/>
    <w:rsid w:val="00EA7D98"/>
    <w:rsid w:val="00EB010D"/>
    <w:rsid w:val="00EB2138"/>
    <w:rsid w:val="00EB25FF"/>
    <w:rsid w:val="00EB4FBC"/>
    <w:rsid w:val="00EB52A6"/>
    <w:rsid w:val="00EB67D4"/>
    <w:rsid w:val="00EC0783"/>
    <w:rsid w:val="00EC0DE3"/>
    <w:rsid w:val="00EC137A"/>
    <w:rsid w:val="00EC2883"/>
    <w:rsid w:val="00EC3313"/>
    <w:rsid w:val="00EC4CAF"/>
    <w:rsid w:val="00ED11E5"/>
    <w:rsid w:val="00ED1D59"/>
    <w:rsid w:val="00ED2821"/>
    <w:rsid w:val="00ED383A"/>
    <w:rsid w:val="00ED45A5"/>
    <w:rsid w:val="00ED4B17"/>
    <w:rsid w:val="00EE0FFA"/>
    <w:rsid w:val="00EE4023"/>
    <w:rsid w:val="00EE4239"/>
    <w:rsid w:val="00EE424E"/>
    <w:rsid w:val="00EE558D"/>
    <w:rsid w:val="00EE5848"/>
    <w:rsid w:val="00EE585A"/>
    <w:rsid w:val="00EE5970"/>
    <w:rsid w:val="00EF037B"/>
    <w:rsid w:val="00EF0C8D"/>
    <w:rsid w:val="00EF5503"/>
    <w:rsid w:val="00EF5AAA"/>
    <w:rsid w:val="00EF5D08"/>
    <w:rsid w:val="00EF6689"/>
    <w:rsid w:val="00EF686A"/>
    <w:rsid w:val="00EF6F5E"/>
    <w:rsid w:val="00EF76BF"/>
    <w:rsid w:val="00EF7EB2"/>
    <w:rsid w:val="00EF7EC3"/>
    <w:rsid w:val="00F01ADE"/>
    <w:rsid w:val="00F03220"/>
    <w:rsid w:val="00F03C7D"/>
    <w:rsid w:val="00F04DA5"/>
    <w:rsid w:val="00F05CE3"/>
    <w:rsid w:val="00F06125"/>
    <w:rsid w:val="00F10218"/>
    <w:rsid w:val="00F10271"/>
    <w:rsid w:val="00F11B1B"/>
    <w:rsid w:val="00F123E7"/>
    <w:rsid w:val="00F13EE8"/>
    <w:rsid w:val="00F14134"/>
    <w:rsid w:val="00F147A9"/>
    <w:rsid w:val="00F149C7"/>
    <w:rsid w:val="00F15B7D"/>
    <w:rsid w:val="00F169A3"/>
    <w:rsid w:val="00F1765E"/>
    <w:rsid w:val="00F20189"/>
    <w:rsid w:val="00F22854"/>
    <w:rsid w:val="00F22E29"/>
    <w:rsid w:val="00F23CF0"/>
    <w:rsid w:val="00F266AF"/>
    <w:rsid w:val="00F276EE"/>
    <w:rsid w:val="00F27C98"/>
    <w:rsid w:val="00F319FC"/>
    <w:rsid w:val="00F31FFF"/>
    <w:rsid w:val="00F326BC"/>
    <w:rsid w:val="00F33894"/>
    <w:rsid w:val="00F3395E"/>
    <w:rsid w:val="00F34DA2"/>
    <w:rsid w:val="00F351A6"/>
    <w:rsid w:val="00F35933"/>
    <w:rsid w:val="00F405F3"/>
    <w:rsid w:val="00F40CC1"/>
    <w:rsid w:val="00F4192F"/>
    <w:rsid w:val="00F4267D"/>
    <w:rsid w:val="00F444AF"/>
    <w:rsid w:val="00F445F5"/>
    <w:rsid w:val="00F44E5D"/>
    <w:rsid w:val="00F47198"/>
    <w:rsid w:val="00F472AB"/>
    <w:rsid w:val="00F474EF"/>
    <w:rsid w:val="00F51069"/>
    <w:rsid w:val="00F52596"/>
    <w:rsid w:val="00F52F46"/>
    <w:rsid w:val="00F5322D"/>
    <w:rsid w:val="00F54826"/>
    <w:rsid w:val="00F553CC"/>
    <w:rsid w:val="00F55AA8"/>
    <w:rsid w:val="00F55CA1"/>
    <w:rsid w:val="00F57121"/>
    <w:rsid w:val="00F575DD"/>
    <w:rsid w:val="00F577EB"/>
    <w:rsid w:val="00F62F00"/>
    <w:rsid w:val="00F6433F"/>
    <w:rsid w:val="00F66136"/>
    <w:rsid w:val="00F6621E"/>
    <w:rsid w:val="00F663ED"/>
    <w:rsid w:val="00F66E45"/>
    <w:rsid w:val="00F67064"/>
    <w:rsid w:val="00F709EF"/>
    <w:rsid w:val="00F70F0D"/>
    <w:rsid w:val="00F72186"/>
    <w:rsid w:val="00F73726"/>
    <w:rsid w:val="00F7383B"/>
    <w:rsid w:val="00F738EB"/>
    <w:rsid w:val="00F73F76"/>
    <w:rsid w:val="00F75F17"/>
    <w:rsid w:val="00F76EFC"/>
    <w:rsid w:val="00F8221D"/>
    <w:rsid w:val="00F8483F"/>
    <w:rsid w:val="00F865B6"/>
    <w:rsid w:val="00F87C57"/>
    <w:rsid w:val="00F90D0A"/>
    <w:rsid w:val="00F910DB"/>
    <w:rsid w:val="00F91208"/>
    <w:rsid w:val="00F91900"/>
    <w:rsid w:val="00F92FA0"/>
    <w:rsid w:val="00F9423F"/>
    <w:rsid w:val="00F94476"/>
    <w:rsid w:val="00F94FE5"/>
    <w:rsid w:val="00F95C00"/>
    <w:rsid w:val="00F96FE5"/>
    <w:rsid w:val="00F97140"/>
    <w:rsid w:val="00F97AFF"/>
    <w:rsid w:val="00FA03B6"/>
    <w:rsid w:val="00FA068C"/>
    <w:rsid w:val="00FA1210"/>
    <w:rsid w:val="00FA2824"/>
    <w:rsid w:val="00FA30F9"/>
    <w:rsid w:val="00FA39EC"/>
    <w:rsid w:val="00FA5317"/>
    <w:rsid w:val="00FA58D0"/>
    <w:rsid w:val="00FA61CB"/>
    <w:rsid w:val="00FA65C6"/>
    <w:rsid w:val="00FA71E4"/>
    <w:rsid w:val="00FB1149"/>
    <w:rsid w:val="00FB1FCA"/>
    <w:rsid w:val="00FB2AE1"/>
    <w:rsid w:val="00FB3C77"/>
    <w:rsid w:val="00FB4131"/>
    <w:rsid w:val="00FB4E2D"/>
    <w:rsid w:val="00FB71FC"/>
    <w:rsid w:val="00FC03E2"/>
    <w:rsid w:val="00FC0DB4"/>
    <w:rsid w:val="00FC15D9"/>
    <w:rsid w:val="00FC1871"/>
    <w:rsid w:val="00FC25EA"/>
    <w:rsid w:val="00FC2D57"/>
    <w:rsid w:val="00FC3F1D"/>
    <w:rsid w:val="00FC65F4"/>
    <w:rsid w:val="00FD09E7"/>
    <w:rsid w:val="00FD0C31"/>
    <w:rsid w:val="00FD1EFE"/>
    <w:rsid w:val="00FD1FED"/>
    <w:rsid w:val="00FD20C8"/>
    <w:rsid w:val="00FD273E"/>
    <w:rsid w:val="00FD28AF"/>
    <w:rsid w:val="00FD342E"/>
    <w:rsid w:val="00FD394B"/>
    <w:rsid w:val="00FD39E0"/>
    <w:rsid w:val="00FD429B"/>
    <w:rsid w:val="00FD47D4"/>
    <w:rsid w:val="00FD4BF6"/>
    <w:rsid w:val="00FD5402"/>
    <w:rsid w:val="00FD556B"/>
    <w:rsid w:val="00FE17F9"/>
    <w:rsid w:val="00FE22B0"/>
    <w:rsid w:val="00FE22B4"/>
    <w:rsid w:val="00FE2479"/>
    <w:rsid w:val="00FE33D9"/>
    <w:rsid w:val="00FE4E48"/>
    <w:rsid w:val="00FE5D7C"/>
    <w:rsid w:val="00FE75C3"/>
    <w:rsid w:val="00FE78C4"/>
    <w:rsid w:val="00FF41C9"/>
    <w:rsid w:val="00FF5BBB"/>
    <w:rsid w:val="00FF77E7"/>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0A9E"/>
    <w:pPr>
      <w:spacing w:beforeLines="50" w:before="50" w:afterLines="50" w:after="50"/>
      <w:jc w:val="both"/>
    </w:pPr>
    <w:rPr>
      <w:rFonts w:ascii="Times New Roman" w:eastAsia="Times New Roman" w:hAnsi="Times New Roman"/>
      <w:sz w:val="20"/>
    </w:rPr>
  </w:style>
  <w:style w:type="paragraph" w:styleId="1">
    <w:name w:val="heading 1"/>
    <w:basedOn w:val="a"/>
    <w:next w:val="a"/>
    <w:link w:val="10"/>
    <w:qFormat/>
    <w:rsid w:val="005C3A15"/>
    <w:pPr>
      <w:keepNext/>
      <w:keepLines/>
      <w:spacing w:before="340" w:after="330" w:line="578" w:lineRule="auto"/>
      <w:outlineLvl w:val="0"/>
    </w:pPr>
    <w:rPr>
      <w:rFonts w:cs="Times New Roman"/>
      <w:b/>
      <w:bCs/>
      <w:kern w:val="44"/>
      <w:sz w:val="44"/>
      <w:szCs w:val="44"/>
    </w:rPr>
  </w:style>
  <w:style w:type="paragraph" w:styleId="2">
    <w:name w:val="heading 2"/>
    <w:basedOn w:val="1"/>
    <w:next w:val="a"/>
    <w:link w:val="20"/>
    <w:qFormat/>
    <w:rsid w:val="00803A91"/>
    <w:pPr>
      <w:spacing w:before="50" w:afterLines="0" w:after="0" w:line="360" w:lineRule="auto"/>
      <w:ind w:rightChars="100" w:right="100"/>
      <w:outlineLvl w:val="1"/>
    </w:pPr>
    <w:rPr>
      <w:b w:val="0"/>
      <w:bCs w:val="0"/>
      <w:kern w:val="2"/>
      <w:sz w:val="28"/>
      <w:szCs w:val="20"/>
    </w:rPr>
  </w:style>
  <w:style w:type="paragraph" w:styleId="3">
    <w:name w:val="heading 3"/>
    <w:basedOn w:val="2"/>
    <w:next w:val="a"/>
    <w:link w:val="30"/>
    <w:qFormat/>
    <w:rsid w:val="00977455"/>
    <w:pPr>
      <w:spacing w:before="120"/>
      <w:outlineLvl w:val="2"/>
    </w:pPr>
    <w:rPr>
      <w:sz w:val="24"/>
    </w:rPr>
  </w:style>
  <w:style w:type="paragraph" w:styleId="4">
    <w:name w:val="heading 4"/>
    <w:basedOn w:val="a"/>
    <w:next w:val="a"/>
    <w:link w:val="40"/>
    <w:uiPriority w:val="9"/>
    <w:semiHidden/>
    <w:unhideWhenUsed/>
    <w:qFormat/>
    <w:rsid w:val="002A11D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5C3A15"/>
    <w:rPr>
      <w:rFonts w:ascii="Times New Roman" w:eastAsia="Times New Roman" w:hAnsi="Times New Roman" w:cs="Times New Roman"/>
      <w:b/>
      <w:bCs/>
      <w:kern w:val="44"/>
      <w:sz w:val="44"/>
      <w:szCs w:val="44"/>
    </w:rPr>
  </w:style>
  <w:style w:type="character" w:customStyle="1" w:styleId="20">
    <w:name w:val="标题 2 字符"/>
    <w:basedOn w:val="a0"/>
    <w:link w:val="2"/>
    <w:rsid w:val="00803A91"/>
    <w:rPr>
      <w:rFonts w:ascii="Times New Roman" w:eastAsia="Times New Roman" w:hAnsi="Times New Roman" w:cs="Times New Roman"/>
      <w:sz w:val="28"/>
      <w:szCs w:val="20"/>
    </w:rPr>
  </w:style>
  <w:style w:type="character" w:customStyle="1" w:styleId="30">
    <w:name w:val="标题 3 字符"/>
    <w:basedOn w:val="a0"/>
    <w:link w:val="3"/>
    <w:rsid w:val="00977455"/>
    <w:rPr>
      <w:rFonts w:ascii="Arial" w:eastAsia="MS Mincho" w:hAnsi="Arial" w:cs="Times New Roman"/>
      <w:sz w:val="24"/>
      <w:szCs w:val="20"/>
    </w:rPr>
  </w:style>
  <w:style w:type="paragraph" w:styleId="a3">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목록"/>
    <w:basedOn w:val="a"/>
    <w:link w:val="a4"/>
    <w:uiPriority w:val="34"/>
    <w:qFormat/>
    <w:rsid w:val="00B04397"/>
    <w:pPr>
      <w:spacing w:beforeLines="0" w:before="0" w:afterLines="0" w:after="0"/>
      <w:ind w:firstLineChars="200" w:firstLine="200"/>
    </w:pPr>
  </w:style>
  <w:style w:type="paragraph" w:customStyle="1" w:styleId="1st-Proposal-YJ">
    <w:name w:val="1st-Proposal-YJ"/>
    <w:basedOn w:val="a"/>
    <w:qFormat/>
    <w:rsid w:val="004D2550"/>
    <w:pPr>
      <w:numPr>
        <w:numId w:val="2"/>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a5">
    <w:name w:val="header"/>
    <w:basedOn w:val="a"/>
    <w:link w:val="a6"/>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8242C1"/>
    <w:rPr>
      <w:rFonts w:eastAsia="Times New Roman"/>
      <w:sz w:val="18"/>
      <w:szCs w:val="18"/>
    </w:rPr>
  </w:style>
  <w:style w:type="paragraph" w:styleId="a7">
    <w:name w:val="footer"/>
    <w:basedOn w:val="a"/>
    <w:link w:val="a8"/>
    <w:uiPriority w:val="99"/>
    <w:unhideWhenUsed/>
    <w:rsid w:val="008242C1"/>
    <w:pPr>
      <w:tabs>
        <w:tab w:val="center" w:pos="4153"/>
        <w:tab w:val="right" w:pos="8306"/>
      </w:tabs>
      <w:snapToGrid w:val="0"/>
      <w:jc w:val="left"/>
    </w:pPr>
    <w:rPr>
      <w:sz w:val="18"/>
      <w:szCs w:val="18"/>
    </w:rPr>
  </w:style>
  <w:style w:type="character" w:customStyle="1" w:styleId="a8">
    <w:name w:val="页脚 字符"/>
    <w:basedOn w:val="a0"/>
    <w:link w:val="a7"/>
    <w:uiPriority w:val="99"/>
    <w:rsid w:val="008242C1"/>
    <w:rPr>
      <w:rFonts w:eastAsia="Times New Roman"/>
      <w:sz w:val="18"/>
      <w:szCs w:val="18"/>
    </w:rPr>
  </w:style>
  <w:style w:type="paragraph" w:styleId="11">
    <w:name w:val="toc 1"/>
    <w:basedOn w:val="a"/>
    <w:next w:val="a"/>
    <w:autoRedefine/>
    <w:uiPriority w:val="39"/>
    <w:unhideWhenUsed/>
    <w:rsid w:val="008242C1"/>
    <w:pPr>
      <w:tabs>
        <w:tab w:val="left" w:pos="1260"/>
        <w:tab w:val="right" w:leader="dot" w:pos="9346"/>
      </w:tabs>
      <w:spacing w:before="156" w:after="156"/>
    </w:pPr>
    <w:rPr>
      <w:rFonts w:cs="Times New Roman"/>
      <w:b/>
      <w:i/>
      <w:szCs w:val="20"/>
    </w:rPr>
  </w:style>
  <w:style w:type="paragraph" w:styleId="21">
    <w:name w:val="toc 2"/>
    <w:basedOn w:val="a"/>
    <w:next w:val="a"/>
    <w:autoRedefine/>
    <w:uiPriority w:val="39"/>
    <w:unhideWhenUsed/>
    <w:rsid w:val="006805A9"/>
    <w:pPr>
      <w:ind w:leftChars="200" w:left="400" w:hangingChars="200" w:hanging="200"/>
    </w:pPr>
    <w:rPr>
      <w:rFonts w:cs="Times New Roman"/>
      <w:b/>
      <w:i/>
      <w:szCs w:val="20"/>
    </w:rPr>
  </w:style>
  <w:style w:type="paragraph" w:styleId="31">
    <w:name w:val="toc 3"/>
    <w:basedOn w:val="a"/>
    <w:next w:val="a"/>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3"/>
      </w:numPr>
    </w:pPr>
  </w:style>
  <w:style w:type="paragraph" w:customStyle="1" w:styleId="2nd-ob-YJ">
    <w:name w:val="2nd-ob-YJ"/>
    <w:basedOn w:val="2nd-proposal-YJ"/>
    <w:qFormat/>
    <w:rsid w:val="009144DE"/>
    <w:pPr>
      <w:numPr>
        <w:numId w:val="3"/>
      </w:numPr>
    </w:pPr>
    <w:rPr>
      <w:rFonts w:eastAsiaTheme="minorEastAsia"/>
    </w:rPr>
  </w:style>
  <w:style w:type="paragraph" w:customStyle="1" w:styleId="3nd-ob-YJ">
    <w:name w:val="3nd-ob-YJ"/>
    <w:basedOn w:val="3nd-proposal-YJ"/>
    <w:qFormat/>
    <w:rsid w:val="009A2F2F"/>
    <w:pPr>
      <w:numPr>
        <w:numId w:val="3"/>
      </w:numPr>
    </w:pPr>
  </w:style>
  <w:style w:type="character" w:styleId="a9">
    <w:name w:val="Hyperlink"/>
    <w:basedOn w:val="a0"/>
    <w:uiPriority w:val="99"/>
    <w:unhideWhenUsed/>
    <w:rsid w:val="00270A85"/>
    <w:rPr>
      <w:color w:val="0563C1" w:themeColor="hyperlink"/>
      <w:u w:val="single"/>
    </w:rPr>
  </w:style>
  <w:style w:type="paragraph" w:styleId="aa">
    <w:name w:val="caption"/>
    <w:basedOn w:val="a"/>
    <w:next w:val="a"/>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a4">
    <w:name w:val="列出段落 字符"/>
    <w:aliases w:val="- Bullets 字符,?? ?? 字符,????? 字符,???? 字符,Lista1 字符,목록 단락 字符,中等深浅网格 1 - 着色 21 字符,列表段落 字符,列出段落1 字符,¥¡¡¡¡ì¬º¥¹¥È¶ÎÂä 字符,ÁÐ³ö¶ÎÂä 字符,列表段落1 字符,—ño’i—Ž 字符,¥ê¥¹¥È¶ÎÂä 字符,1st level - Bullet List Paragraph 字符,List Paragraph1 字符,Lettre d'introduction 字符"/>
    <w:basedOn w:val="a0"/>
    <w:link w:val="a3"/>
    <w:uiPriority w:val="34"/>
    <w:qFormat/>
    <w:locked/>
    <w:rsid w:val="00067F52"/>
    <w:rPr>
      <w:rFonts w:ascii="Times New Roman" w:eastAsia="Times New Roman" w:hAnsi="Times New Roman"/>
      <w:sz w:val="20"/>
    </w:rPr>
  </w:style>
  <w:style w:type="table" w:styleId="ab">
    <w:name w:val="Table Grid"/>
    <w:basedOn w:val="a1"/>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a0"/>
    <w:rsid w:val="00AC25AE"/>
  </w:style>
  <w:style w:type="paragraph" w:styleId="ac">
    <w:name w:val="Normal (Web)"/>
    <w:basedOn w:val="a"/>
    <w:uiPriority w:val="99"/>
    <w:semiHidden/>
    <w:unhideWhenUsed/>
    <w:rsid w:val="00FF77E7"/>
    <w:rPr>
      <w:rFonts w:cs="Times New Roman"/>
      <w:sz w:val="24"/>
      <w:szCs w:val="24"/>
    </w:rPr>
  </w:style>
  <w:style w:type="paragraph" w:customStyle="1" w:styleId="B1">
    <w:name w:val="B1"/>
    <w:basedOn w:val="ad"/>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ad">
    <w:name w:val="List"/>
    <w:basedOn w:val="a"/>
    <w:uiPriority w:val="99"/>
    <w:semiHidden/>
    <w:unhideWhenUsed/>
    <w:rsid w:val="00886BEA"/>
    <w:pPr>
      <w:ind w:left="200" w:hangingChars="200" w:hanging="200"/>
      <w:contextualSpacing/>
    </w:pPr>
  </w:style>
  <w:style w:type="paragraph" w:styleId="ae">
    <w:name w:val="Balloon Text"/>
    <w:basedOn w:val="a"/>
    <w:link w:val="af"/>
    <w:uiPriority w:val="99"/>
    <w:semiHidden/>
    <w:unhideWhenUsed/>
    <w:rsid w:val="00886BEA"/>
    <w:pPr>
      <w:spacing w:before="0" w:after="0"/>
    </w:pPr>
    <w:rPr>
      <w:sz w:val="18"/>
      <w:szCs w:val="18"/>
    </w:rPr>
  </w:style>
  <w:style w:type="character" w:customStyle="1" w:styleId="af">
    <w:name w:val="批注框文本 字符"/>
    <w:basedOn w:val="a0"/>
    <w:link w:val="ae"/>
    <w:uiPriority w:val="99"/>
    <w:semiHidden/>
    <w:rsid w:val="00886BEA"/>
    <w:rPr>
      <w:rFonts w:ascii="Times New Roman" w:eastAsia="Times New Roman" w:hAnsi="Times New Roman"/>
      <w:sz w:val="18"/>
      <w:szCs w:val="18"/>
    </w:rPr>
  </w:style>
  <w:style w:type="character" w:styleId="af0">
    <w:name w:val="Emphasis"/>
    <w:uiPriority w:val="20"/>
    <w:qFormat/>
    <w:rsid w:val="003A6B54"/>
    <w:rPr>
      <w:i/>
      <w:iCs/>
    </w:rPr>
  </w:style>
  <w:style w:type="table" w:customStyle="1" w:styleId="12">
    <w:name w:val="网格型1"/>
    <w:basedOn w:val="a1"/>
    <w:next w:val="ab"/>
    <w:uiPriority w:val="59"/>
    <w:rsid w:val="005F2DEE"/>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annotation reference"/>
    <w:uiPriority w:val="99"/>
    <w:rsid w:val="005F58FE"/>
    <w:rPr>
      <w:sz w:val="18"/>
      <w:szCs w:val="18"/>
    </w:rPr>
  </w:style>
  <w:style w:type="paragraph" w:styleId="af2">
    <w:name w:val="annotation text"/>
    <w:basedOn w:val="a"/>
    <w:link w:val="af3"/>
    <w:uiPriority w:val="99"/>
    <w:rsid w:val="005F58FE"/>
    <w:pPr>
      <w:widowControl w:val="0"/>
      <w:spacing w:beforeLines="0" w:before="0" w:afterLines="0" w:after="0"/>
      <w:jc w:val="left"/>
    </w:pPr>
    <w:rPr>
      <w:rFonts w:eastAsia="宋体" w:cs="Times New Roman"/>
      <w:sz w:val="24"/>
      <w:szCs w:val="24"/>
    </w:rPr>
  </w:style>
  <w:style w:type="character" w:customStyle="1" w:styleId="af3">
    <w:name w:val="批注文字 字符"/>
    <w:basedOn w:val="a0"/>
    <w:link w:val="af2"/>
    <w:uiPriority w:val="99"/>
    <w:rsid w:val="005F58FE"/>
    <w:rPr>
      <w:rFonts w:ascii="Times New Roman" w:eastAsia="宋体" w:hAnsi="Times New Roman" w:cs="Times New Roman"/>
      <w:sz w:val="24"/>
      <w:szCs w:val="24"/>
    </w:rPr>
  </w:style>
  <w:style w:type="paragraph" w:customStyle="1" w:styleId="PropObs">
    <w:name w:val="PropObs"/>
    <w:basedOn w:val="a"/>
    <w:qFormat/>
    <w:rsid w:val="00F96FE5"/>
    <w:pPr>
      <w:numPr>
        <w:numId w:val="18"/>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af4">
    <w:name w:val="annotation subject"/>
    <w:basedOn w:val="af2"/>
    <w:next w:val="af2"/>
    <w:link w:val="af5"/>
    <w:uiPriority w:val="99"/>
    <w:semiHidden/>
    <w:unhideWhenUsed/>
    <w:rsid w:val="003654AA"/>
    <w:pPr>
      <w:widowControl/>
      <w:spacing w:beforeLines="50" w:before="50" w:afterLines="50" w:after="50"/>
    </w:pPr>
    <w:rPr>
      <w:rFonts w:eastAsia="Times New Roman" w:cstheme="minorBidi"/>
      <w:b/>
      <w:bCs/>
      <w:sz w:val="20"/>
      <w:szCs w:val="21"/>
    </w:rPr>
  </w:style>
  <w:style w:type="character" w:customStyle="1" w:styleId="af5">
    <w:name w:val="批注主题 字符"/>
    <w:basedOn w:val="af3"/>
    <w:link w:val="af4"/>
    <w:uiPriority w:val="99"/>
    <w:semiHidden/>
    <w:rsid w:val="003654AA"/>
    <w:rPr>
      <w:rFonts w:ascii="Times New Roman" w:eastAsia="Times New Roman" w:hAnsi="Times New Roman" w:cs="Times New Roman"/>
      <w:b/>
      <w:bCs/>
      <w:sz w:val="20"/>
      <w:szCs w:val="24"/>
    </w:rPr>
  </w:style>
  <w:style w:type="character" w:customStyle="1" w:styleId="B1Char1">
    <w:name w:val="B1 Char1"/>
    <w:link w:val="B1"/>
    <w:qFormat/>
    <w:locked/>
    <w:rsid w:val="000F0A9E"/>
    <w:rPr>
      <w:rFonts w:ascii="Times New Roman" w:hAnsi="Times New Roman" w:cs="Times New Roman"/>
      <w:kern w:val="0"/>
      <w:sz w:val="20"/>
      <w:szCs w:val="20"/>
      <w:lang w:val="en-GB" w:eastAsia="zh-TW"/>
    </w:rPr>
  </w:style>
  <w:style w:type="character" w:customStyle="1" w:styleId="B2Char">
    <w:name w:val="B2 Char"/>
    <w:link w:val="B2"/>
    <w:qFormat/>
    <w:locked/>
    <w:rsid w:val="000F0A9E"/>
    <w:rPr>
      <w:rFonts w:ascii="Times New Roman" w:eastAsia="Times New Roman" w:hAnsi="Times New Roman" w:cs="Times New Roman"/>
      <w:lang w:val="en-GB" w:eastAsia="ja-JP"/>
    </w:rPr>
  </w:style>
  <w:style w:type="paragraph" w:customStyle="1" w:styleId="B2">
    <w:name w:val="B2"/>
    <w:basedOn w:val="22"/>
    <w:link w:val="B2Char"/>
    <w:qFormat/>
    <w:rsid w:val="000F0A9E"/>
    <w:pPr>
      <w:overflowPunct w:val="0"/>
      <w:autoSpaceDE w:val="0"/>
      <w:autoSpaceDN w:val="0"/>
      <w:adjustRightInd w:val="0"/>
      <w:spacing w:beforeLines="0" w:before="0" w:afterLines="0" w:after="180"/>
      <w:ind w:leftChars="0" w:left="851" w:firstLineChars="0" w:hanging="284"/>
      <w:contextualSpacing w:val="0"/>
      <w:jc w:val="left"/>
    </w:pPr>
    <w:rPr>
      <w:rFonts w:cs="Times New Roman"/>
      <w:sz w:val="21"/>
      <w:lang w:val="en-GB" w:eastAsia="ja-JP"/>
    </w:rPr>
  </w:style>
  <w:style w:type="paragraph" w:styleId="22">
    <w:name w:val="List 2"/>
    <w:basedOn w:val="a"/>
    <w:uiPriority w:val="99"/>
    <w:semiHidden/>
    <w:unhideWhenUsed/>
    <w:rsid w:val="000F0A9E"/>
    <w:pPr>
      <w:ind w:leftChars="200" w:left="100" w:hangingChars="200" w:hanging="200"/>
      <w:contextualSpacing/>
    </w:pPr>
  </w:style>
  <w:style w:type="character" w:customStyle="1" w:styleId="40">
    <w:name w:val="标题 4 字符"/>
    <w:basedOn w:val="a0"/>
    <w:link w:val="4"/>
    <w:uiPriority w:val="9"/>
    <w:semiHidden/>
    <w:rsid w:val="002A11D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58285582">
      <w:bodyDiv w:val="1"/>
      <w:marLeft w:val="0"/>
      <w:marRight w:val="0"/>
      <w:marTop w:val="0"/>
      <w:marBottom w:val="0"/>
      <w:divBdr>
        <w:top w:val="none" w:sz="0" w:space="0" w:color="auto"/>
        <w:left w:val="none" w:sz="0" w:space="0" w:color="auto"/>
        <w:bottom w:val="none" w:sz="0" w:space="0" w:color="auto"/>
        <w:right w:val="none" w:sz="0" w:space="0" w:color="auto"/>
      </w:divBdr>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33197771">
      <w:bodyDiv w:val="1"/>
      <w:marLeft w:val="0"/>
      <w:marRight w:val="0"/>
      <w:marTop w:val="0"/>
      <w:marBottom w:val="0"/>
      <w:divBdr>
        <w:top w:val="none" w:sz="0" w:space="0" w:color="auto"/>
        <w:left w:val="none" w:sz="0" w:space="0" w:color="auto"/>
        <w:bottom w:val="none" w:sz="0" w:space="0" w:color="auto"/>
        <w:right w:val="none" w:sz="0" w:space="0" w:color="auto"/>
      </w:divBdr>
    </w:div>
    <w:div w:id="239096245">
      <w:bodyDiv w:val="1"/>
      <w:marLeft w:val="0"/>
      <w:marRight w:val="0"/>
      <w:marTop w:val="0"/>
      <w:marBottom w:val="0"/>
      <w:divBdr>
        <w:top w:val="none" w:sz="0" w:space="0" w:color="auto"/>
        <w:left w:val="none" w:sz="0" w:space="0" w:color="auto"/>
        <w:bottom w:val="none" w:sz="0" w:space="0" w:color="auto"/>
        <w:right w:val="none" w:sz="0" w:space="0" w:color="auto"/>
      </w:divBdr>
    </w:div>
    <w:div w:id="334235524">
      <w:bodyDiv w:val="1"/>
      <w:marLeft w:val="0"/>
      <w:marRight w:val="0"/>
      <w:marTop w:val="0"/>
      <w:marBottom w:val="0"/>
      <w:divBdr>
        <w:top w:val="none" w:sz="0" w:space="0" w:color="auto"/>
        <w:left w:val="none" w:sz="0" w:space="0" w:color="auto"/>
        <w:bottom w:val="none" w:sz="0" w:space="0" w:color="auto"/>
        <w:right w:val="none" w:sz="0" w:space="0" w:color="auto"/>
      </w:divBdr>
    </w:div>
    <w:div w:id="368990664">
      <w:bodyDiv w:val="1"/>
      <w:marLeft w:val="0"/>
      <w:marRight w:val="0"/>
      <w:marTop w:val="0"/>
      <w:marBottom w:val="0"/>
      <w:divBdr>
        <w:top w:val="none" w:sz="0" w:space="0" w:color="auto"/>
        <w:left w:val="none" w:sz="0" w:space="0" w:color="auto"/>
        <w:bottom w:val="none" w:sz="0" w:space="0" w:color="auto"/>
        <w:right w:val="none" w:sz="0" w:space="0" w:color="auto"/>
      </w:divBdr>
      <w:divsChild>
        <w:div w:id="821195957">
          <w:marLeft w:val="1800"/>
          <w:marRight w:val="0"/>
          <w:marTop w:val="67"/>
          <w:marBottom w:val="0"/>
          <w:divBdr>
            <w:top w:val="none" w:sz="0" w:space="0" w:color="auto"/>
            <w:left w:val="none" w:sz="0" w:space="0" w:color="auto"/>
            <w:bottom w:val="none" w:sz="0" w:space="0" w:color="auto"/>
            <w:right w:val="none" w:sz="0" w:space="0" w:color="auto"/>
          </w:divBdr>
        </w:div>
        <w:div w:id="702174958">
          <w:marLeft w:val="1800"/>
          <w:marRight w:val="0"/>
          <w:marTop w:val="67"/>
          <w:marBottom w:val="0"/>
          <w:divBdr>
            <w:top w:val="none" w:sz="0" w:space="0" w:color="auto"/>
            <w:left w:val="none" w:sz="0" w:space="0" w:color="auto"/>
            <w:bottom w:val="none" w:sz="0" w:space="0" w:color="auto"/>
            <w:right w:val="none" w:sz="0" w:space="0" w:color="auto"/>
          </w:divBdr>
        </w:div>
      </w:divsChild>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35972997">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592979222">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846016322">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983049773">
      <w:bodyDiv w:val="1"/>
      <w:marLeft w:val="0"/>
      <w:marRight w:val="0"/>
      <w:marTop w:val="0"/>
      <w:marBottom w:val="0"/>
      <w:divBdr>
        <w:top w:val="none" w:sz="0" w:space="0" w:color="auto"/>
        <w:left w:val="none" w:sz="0" w:space="0" w:color="auto"/>
        <w:bottom w:val="none" w:sz="0" w:space="0" w:color="auto"/>
        <w:right w:val="none" w:sz="0" w:space="0" w:color="auto"/>
      </w:divBdr>
    </w:div>
    <w:div w:id="1033385046">
      <w:bodyDiv w:val="1"/>
      <w:marLeft w:val="0"/>
      <w:marRight w:val="0"/>
      <w:marTop w:val="0"/>
      <w:marBottom w:val="0"/>
      <w:divBdr>
        <w:top w:val="none" w:sz="0" w:space="0" w:color="auto"/>
        <w:left w:val="none" w:sz="0" w:space="0" w:color="auto"/>
        <w:bottom w:val="none" w:sz="0" w:space="0" w:color="auto"/>
        <w:right w:val="none" w:sz="0" w:space="0" w:color="auto"/>
      </w:divBdr>
    </w:div>
    <w:div w:id="1072242057">
      <w:bodyDiv w:val="1"/>
      <w:marLeft w:val="0"/>
      <w:marRight w:val="0"/>
      <w:marTop w:val="0"/>
      <w:marBottom w:val="0"/>
      <w:divBdr>
        <w:top w:val="none" w:sz="0" w:space="0" w:color="auto"/>
        <w:left w:val="none" w:sz="0" w:space="0" w:color="auto"/>
        <w:bottom w:val="none" w:sz="0" w:space="0" w:color="auto"/>
        <w:right w:val="none" w:sz="0" w:space="0" w:color="auto"/>
      </w:divBdr>
    </w:div>
    <w:div w:id="1244340576">
      <w:bodyDiv w:val="1"/>
      <w:marLeft w:val="0"/>
      <w:marRight w:val="0"/>
      <w:marTop w:val="0"/>
      <w:marBottom w:val="0"/>
      <w:divBdr>
        <w:top w:val="none" w:sz="0" w:space="0" w:color="auto"/>
        <w:left w:val="none" w:sz="0" w:space="0" w:color="auto"/>
        <w:bottom w:val="none" w:sz="0" w:space="0" w:color="auto"/>
        <w:right w:val="none" w:sz="0" w:space="0" w:color="auto"/>
      </w:divBdr>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68271576">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43629043">
      <w:bodyDiv w:val="1"/>
      <w:marLeft w:val="0"/>
      <w:marRight w:val="0"/>
      <w:marTop w:val="0"/>
      <w:marBottom w:val="0"/>
      <w:divBdr>
        <w:top w:val="none" w:sz="0" w:space="0" w:color="auto"/>
        <w:left w:val="none" w:sz="0" w:space="0" w:color="auto"/>
        <w:bottom w:val="none" w:sz="0" w:space="0" w:color="auto"/>
        <w:right w:val="none" w:sz="0" w:space="0" w:color="auto"/>
      </w:divBdr>
    </w:div>
    <w:div w:id="1380590571">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79076091">
      <w:bodyDiv w:val="1"/>
      <w:marLeft w:val="0"/>
      <w:marRight w:val="0"/>
      <w:marTop w:val="0"/>
      <w:marBottom w:val="0"/>
      <w:divBdr>
        <w:top w:val="none" w:sz="0" w:space="0" w:color="auto"/>
        <w:left w:val="none" w:sz="0" w:space="0" w:color="auto"/>
        <w:bottom w:val="none" w:sz="0" w:space="0" w:color="auto"/>
        <w:right w:val="none" w:sz="0" w:space="0" w:color="auto"/>
      </w:divBdr>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2945568">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2148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034DD3-DEEA-4A12-87D8-EFFA337580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TotalTime>
  <Pages>5</Pages>
  <Words>1640</Words>
  <Characters>9349</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Xie Zonghui</cp:lastModifiedBy>
  <cp:revision>287</cp:revision>
  <dcterms:created xsi:type="dcterms:W3CDTF">2023-02-10T02:47:00Z</dcterms:created>
  <dcterms:modified xsi:type="dcterms:W3CDTF">2023-04-06T07:57:00Z</dcterms:modified>
</cp:coreProperties>
</file>